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78617632"/>
        <w:docPartObj>
          <w:docPartGallery w:val="Table of Contents"/>
          <w:docPartUnique/>
        </w:docPartObj>
      </w:sdtPr>
      <w:sdtEndPr>
        <w:rPr>
          <w:rFonts w:ascii="Arial" w:eastAsiaTheme="minorEastAsia" w:hAnsi="Arial" w:cs="Arial"/>
          <w:color w:val="auto"/>
          <w:sz w:val="24"/>
          <w:szCs w:val="24"/>
          <w:lang w:eastAsia="ja-JP"/>
        </w:rPr>
      </w:sdtEndPr>
      <w:sdtContent>
        <w:p w:rsidR="00A80BB8" w:rsidRDefault="00A80BB8" w:rsidP="00A80BB8">
          <w:pPr>
            <w:pStyle w:val="TtulodeTDC"/>
            <w:jc w:val="center"/>
            <w:rPr>
              <w:rFonts w:ascii="Arial" w:hAnsi="Arial" w:cs="Arial"/>
              <w:sz w:val="36"/>
              <w:szCs w:val="36"/>
              <w:lang w:val="es-ES"/>
            </w:rPr>
          </w:pPr>
          <w:r w:rsidRPr="00A80BB8">
            <w:rPr>
              <w:rFonts w:ascii="Arial" w:hAnsi="Arial" w:cs="Arial"/>
              <w:sz w:val="36"/>
              <w:szCs w:val="36"/>
              <w:lang w:val="es-ES"/>
            </w:rPr>
            <w:t>CONTENIDO</w:t>
          </w:r>
        </w:p>
        <w:p w:rsidR="00A80BB8" w:rsidRPr="00A80BB8" w:rsidRDefault="00A80BB8" w:rsidP="00A80BB8">
          <w:pPr>
            <w:rPr>
              <w:lang w:eastAsia="es-MX"/>
            </w:rPr>
          </w:pPr>
        </w:p>
        <w:p w:rsidR="00A80BB8" w:rsidRPr="00A80BB8" w:rsidRDefault="00A80BB8" w:rsidP="00A80BB8">
          <w:pPr>
            <w:pStyle w:val="TDC1"/>
            <w:tabs>
              <w:tab w:val="left" w:pos="440"/>
              <w:tab w:val="right" w:leader="dot" w:pos="8494"/>
            </w:tabs>
            <w:jc w:val="both"/>
            <w:rPr>
              <w:rFonts w:ascii="Arial" w:hAnsi="Arial" w:cs="Arial"/>
              <w:noProof/>
              <w:color w:val="auto"/>
              <w:szCs w:val="24"/>
              <w:lang w:val="es-MX" w:eastAsia="es-MX"/>
            </w:rPr>
          </w:pPr>
          <w:r w:rsidRPr="00A80BB8">
            <w:rPr>
              <w:rFonts w:ascii="Arial" w:hAnsi="Arial" w:cs="Arial"/>
              <w:color w:val="auto"/>
              <w:szCs w:val="24"/>
            </w:rPr>
            <w:fldChar w:fldCharType="begin"/>
          </w:r>
          <w:r w:rsidRPr="00A80BB8">
            <w:rPr>
              <w:rFonts w:ascii="Arial" w:hAnsi="Arial" w:cs="Arial"/>
              <w:color w:val="auto"/>
              <w:szCs w:val="24"/>
            </w:rPr>
            <w:instrText xml:space="preserve"> TOC \o "1-3" \h \z \u </w:instrText>
          </w:r>
          <w:r w:rsidRPr="00A80BB8">
            <w:rPr>
              <w:rFonts w:ascii="Arial" w:hAnsi="Arial" w:cs="Arial"/>
              <w:color w:val="auto"/>
              <w:szCs w:val="24"/>
            </w:rPr>
            <w:fldChar w:fldCharType="separate"/>
          </w:r>
          <w:hyperlink w:anchor="_Toc31107907" w:history="1">
            <w:r w:rsidRPr="00A80BB8">
              <w:rPr>
                <w:rStyle w:val="Hipervnculo"/>
                <w:rFonts w:ascii="Arial" w:hAnsi="Arial" w:cs="Arial"/>
                <w:noProof/>
                <w:color w:val="auto"/>
                <w:szCs w:val="24"/>
              </w:rPr>
              <w:t>1.</w:t>
            </w:r>
            <w:r w:rsidRPr="00A80BB8">
              <w:rPr>
                <w:rFonts w:ascii="Arial" w:hAnsi="Arial" w:cs="Arial"/>
                <w:noProof/>
                <w:color w:val="auto"/>
                <w:szCs w:val="24"/>
                <w:lang w:val="es-MX" w:eastAsia="es-MX"/>
              </w:rPr>
              <w:tab/>
            </w:r>
            <w:r w:rsidRPr="00A80BB8">
              <w:rPr>
                <w:rStyle w:val="Hipervnculo"/>
                <w:rFonts w:ascii="Arial" w:hAnsi="Arial" w:cs="Arial"/>
                <w:noProof/>
                <w:color w:val="auto"/>
                <w:szCs w:val="24"/>
              </w:rPr>
              <w:t>TESIS AISLADAS EN MATERIA CIVIL</w:t>
            </w:r>
            <w:r w:rsidRPr="00A80BB8">
              <w:rPr>
                <w:rFonts w:ascii="Arial" w:hAnsi="Arial" w:cs="Arial"/>
                <w:noProof/>
                <w:webHidden/>
                <w:color w:val="auto"/>
                <w:szCs w:val="24"/>
              </w:rPr>
              <w:tab/>
            </w:r>
            <w:r w:rsidRPr="00A80BB8">
              <w:rPr>
                <w:rFonts w:ascii="Arial" w:hAnsi="Arial" w:cs="Arial"/>
                <w:noProof/>
                <w:webHidden/>
                <w:color w:val="auto"/>
                <w:szCs w:val="24"/>
              </w:rPr>
              <w:fldChar w:fldCharType="begin"/>
            </w:r>
            <w:r w:rsidRPr="00A80BB8">
              <w:rPr>
                <w:rFonts w:ascii="Arial" w:hAnsi="Arial" w:cs="Arial"/>
                <w:noProof/>
                <w:webHidden/>
                <w:color w:val="auto"/>
                <w:szCs w:val="24"/>
              </w:rPr>
              <w:instrText xml:space="preserve"> PAGEREF _Toc31107907 \h </w:instrText>
            </w:r>
            <w:r w:rsidRPr="00A80BB8">
              <w:rPr>
                <w:rFonts w:ascii="Arial" w:hAnsi="Arial" w:cs="Arial"/>
                <w:noProof/>
                <w:webHidden/>
                <w:color w:val="auto"/>
                <w:szCs w:val="24"/>
              </w:rPr>
            </w:r>
            <w:r w:rsidRPr="00A80BB8">
              <w:rPr>
                <w:rFonts w:ascii="Arial" w:hAnsi="Arial" w:cs="Arial"/>
                <w:noProof/>
                <w:webHidden/>
                <w:color w:val="auto"/>
                <w:szCs w:val="24"/>
              </w:rPr>
              <w:fldChar w:fldCharType="separate"/>
            </w:r>
            <w:r w:rsidRPr="00A80BB8">
              <w:rPr>
                <w:rFonts w:ascii="Arial" w:hAnsi="Arial" w:cs="Arial"/>
                <w:noProof/>
                <w:webHidden/>
                <w:color w:val="auto"/>
                <w:szCs w:val="24"/>
              </w:rPr>
              <w:t>3</w:t>
            </w:r>
            <w:r w:rsidRPr="00A80BB8">
              <w:rPr>
                <w:rFonts w:ascii="Arial" w:hAnsi="Arial" w:cs="Arial"/>
                <w:noProof/>
                <w:webHidden/>
                <w:color w:val="auto"/>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08" w:history="1">
            <w:r w:rsidRPr="00A80BB8">
              <w:rPr>
                <w:rStyle w:val="Hipervnculo"/>
                <w:rFonts w:ascii="Arial" w:hAnsi="Arial" w:cs="Arial"/>
                <w:noProof/>
                <w:color w:val="auto"/>
                <w:sz w:val="24"/>
                <w:szCs w:val="24"/>
              </w:rPr>
              <w:t>1.1</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_Toc31107908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3</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09" w:history="1">
            <w:r w:rsidRPr="00A80BB8">
              <w:rPr>
                <w:rStyle w:val="Hipervnculo"/>
                <w:rFonts w:ascii="Arial" w:hAnsi="Arial" w:cs="Arial"/>
                <w:noProof/>
                <w:color w:val="auto"/>
                <w:sz w:val="24"/>
                <w:szCs w:val="24"/>
              </w:rPr>
              <w:t>1.2</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SEGURO DE VIDA INSTITUCIONAL PARA SERVIDORES PÚBLICOS. ES INNECESARIO QUE EL ASEGURADO CUENTE CON UN FORMATO ESPECÍFICO DE BAJA DE LA DEPENDENCIA PARA LA QUE LABORABA Y PROCEDA SU PAGO, YA QUE NO ES UN REQUISITO NECESARIO PARA QUE PROSPERE LA INDEMNIZACIÓN NI, POR ENDE, PARA QUE INICIE A PARTIR DE LA FECHA DE SU ENTREGA A AQUÉL, EL TÉRMINO DE LA PRESCRIPCIÓN.</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_Toc31107909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4</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0" w:history="1">
            <w:r w:rsidRPr="00A80BB8">
              <w:rPr>
                <w:rStyle w:val="Hipervnculo"/>
                <w:rFonts w:ascii="Arial" w:hAnsi="Arial" w:cs="Arial"/>
                <w:noProof/>
                <w:color w:val="auto"/>
                <w:sz w:val="24"/>
                <w:szCs w:val="24"/>
              </w:rPr>
              <w:t>1.3</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PRESCRIPCIÓN NEGATIVA ENTRE COPROPIETARIOS. NO LA IMPIDE EL ARTÍCULO 1167, FRACCIÓN IV, DEL CÓDIGO CIVIL PARA EL DISTRITO FEDERAL, AHORA CIUDAD DE MÉXICO.</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_Toc31107910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5</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1" w:history="1">
            <w:r w:rsidRPr="00A80BB8">
              <w:rPr>
                <w:rStyle w:val="Hipervnculo"/>
                <w:rFonts w:ascii="Arial" w:hAnsi="Arial" w:cs="Arial"/>
                <w:noProof/>
                <w:color w:val="auto"/>
                <w:sz w:val="24"/>
                <w:szCs w:val="24"/>
              </w:rPr>
              <w:t>1.4</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PRESCRIPCIÓN DE LA ACCIÓN EN MATERIA DE SEGUROS. SU PLAZO SE INTERRUMPE POR EL PROCEDIMIENTO CONCILIATORIO ANTE LA COMISIÓN NACIONAL PARA LA PROTECCIÓN Y DEFENSA DE LOS USUARIOS DE SERVICIOS FINANCIEROS Y SE REINICIA CUANDO SE DEJAN A SALVO LOS DERECHOS DE LAS PARTES EN LA AUDIENCIA RESPECTIVA.</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_Toc31107911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7</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2" w:history="1">
            <w:r w:rsidRPr="00A80BB8">
              <w:rPr>
                <w:rStyle w:val="Hipervnculo"/>
                <w:rFonts w:ascii="Arial" w:hAnsi="Arial" w:cs="Arial"/>
                <w:noProof/>
                <w:color w:val="auto"/>
                <w:sz w:val="24"/>
                <w:szCs w:val="24"/>
              </w:rPr>
              <w:t>1.5</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NULIDAD DE NOTIFICACIONES. DEBE INTERPONERSE EL INCIDENTE RELATIVO CUANDO SE RECLAME LA INCONSTITUCIONALIDAD DEL ARTÍCULO 81 DEL CÓDIGO DE PROCEDIMIENTOS CIVILES PARA EL ESTADO DE VERACRUZ.</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_Toc31107912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8</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3" w:history="1">
            <w:r w:rsidRPr="00A80BB8">
              <w:rPr>
                <w:rStyle w:val="Hipervnculo"/>
                <w:rFonts w:ascii="Arial" w:hAnsi="Arial" w:cs="Arial"/>
                <w:noProof/>
                <w:color w:val="auto"/>
                <w:sz w:val="24"/>
                <w:szCs w:val="24"/>
              </w:rPr>
              <w:t>1.6</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 xml:space="preserve">JUICIO SUCESORIO. EL AUTO MEDIANTE EL CUAL SE ADMITE PARCIALMENTE EL ESCRITO INICIAL DE DEMANDA, NO CONSTITUYE UNA VIOLACIÓN SUSTANTIVA CONTRA LA CUAL PROCEDA EL JUICIO </w:t>
            </w:r>
            <w:r w:rsidRPr="00A80BB8">
              <w:rPr>
                <w:rStyle w:val="Hipervnculo"/>
                <w:rFonts w:ascii="Arial" w:hAnsi="Arial" w:cs="Arial"/>
                <w:noProof/>
                <w:color w:val="auto"/>
                <w:sz w:val="24"/>
                <w:szCs w:val="24"/>
              </w:rPr>
              <w:lastRenderedPageBreak/>
              <w:t>DE AMPARO INDIRECTO, PUES NO DA POR CONCLUIDA NINGUNA DE LAS ETAPAS QUE CONFORMAN AQUL.</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_Toc31107913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9</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4" w:history="1">
            <w:r w:rsidRPr="00A80BB8">
              <w:rPr>
                <w:rStyle w:val="Hipervnculo"/>
                <w:rFonts w:ascii="Arial" w:hAnsi="Arial" w:cs="Arial"/>
                <w:noProof/>
                <w:color w:val="auto"/>
                <w:sz w:val="24"/>
                <w:szCs w:val="24"/>
              </w:rPr>
              <w:t>1.7</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EMPLAZAMIENTO POR EDICTOS. LA MANIFESTACIÓN DE IGNORAR EL DOMICILIO CORRECTO DEL DEMANDADO BAJO PROTESTA DE DECIR VERDAD, ES UN REQUISITO INDISPENSABLE PARA ORDENARLO DE ESA FORMA, CON INDEPENDENCIA DE QUE SE HAGA AL MOMENTO DE PRESENTAR LA DEMANDA O DESUÉS DE AGOTAR LOS MEDIOS DE LOCALIZACIÓN PERTINENTES (LEGISLACIÓN DEL ESTADO DE PUEBLA).</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_Toc31107914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10</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5" w:history="1">
            <w:r w:rsidRPr="00A80BB8">
              <w:rPr>
                <w:rStyle w:val="Hipervnculo"/>
                <w:rFonts w:ascii="Arial" w:hAnsi="Arial" w:cs="Arial"/>
                <w:noProof/>
                <w:color w:val="auto"/>
                <w:sz w:val="24"/>
                <w:szCs w:val="24"/>
              </w:rPr>
              <w:t>1.8</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COSA JUZGADA. LA PRESCRIPCIÓN DE LA ACCIÓN ACTUALIZA, EXCEPCIONALMENTE, DICHA INSTITUCIÓN JURÍDICA.</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_Toc31107915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11</w:t>
            </w:r>
            <w:r w:rsidRPr="00A80BB8">
              <w:rPr>
                <w:rFonts w:ascii="Arial" w:hAnsi="Arial" w:cs="Arial"/>
                <w:noProof/>
                <w:webHidden/>
                <w:sz w:val="24"/>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6" w:history="1">
            <w:r w:rsidRPr="00A80BB8">
              <w:rPr>
                <w:rStyle w:val="Hipervnculo"/>
                <w:rFonts w:ascii="Arial" w:hAnsi="Arial" w:cs="Arial"/>
                <w:noProof/>
                <w:color w:val="auto"/>
                <w:sz w:val="24"/>
                <w:szCs w:val="24"/>
              </w:rPr>
              <w:t>1.9</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CONTRATO DE SEGURO DE VIDA. EL PLAZO APLICABLE PARA LA PRESCRIPCIÓN DE LA ACCIÓN PARA RECLAMAR EL PAGO DE LA COBERTURA RELATIVA, ES EL ESTABLECIDO EN LA LEY VIGENTE AL MOMENTO DEL FALLECIMIENTO DEL ASEGURADO, AL SER ÉSTE EL QUE MARCA EL SURGIMIENTO DE ESA ACCIÓN.</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_Toc31107916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12</w:t>
            </w:r>
            <w:r w:rsidRPr="00A80BB8">
              <w:rPr>
                <w:rFonts w:ascii="Arial" w:hAnsi="Arial" w:cs="Arial"/>
                <w:noProof/>
                <w:webHidden/>
                <w:sz w:val="24"/>
                <w:szCs w:val="24"/>
              </w:rPr>
              <w:fldChar w:fldCharType="end"/>
            </w:r>
          </w:hyperlink>
        </w:p>
        <w:p w:rsidR="00A80BB8" w:rsidRPr="00A80BB8" w:rsidRDefault="00A80BB8" w:rsidP="00A80BB8">
          <w:pPr>
            <w:pStyle w:val="TDC1"/>
            <w:tabs>
              <w:tab w:val="left" w:pos="440"/>
              <w:tab w:val="right" w:leader="dot" w:pos="8494"/>
            </w:tabs>
            <w:jc w:val="both"/>
            <w:rPr>
              <w:rFonts w:ascii="Arial" w:hAnsi="Arial" w:cs="Arial"/>
              <w:noProof/>
              <w:color w:val="auto"/>
              <w:szCs w:val="24"/>
              <w:lang w:val="es-MX" w:eastAsia="es-MX"/>
            </w:rPr>
          </w:pPr>
          <w:hyperlink w:anchor="_Toc31107917" w:history="1">
            <w:r w:rsidRPr="00A80BB8">
              <w:rPr>
                <w:rStyle w:val="Hipervnculo"/>
                <w:rFonts w:ascii="Arial" w:hAnsi="Arial" w:cs="Arial"/>
                <w:noProof/>
                <w:color w:val="auto"/>
                <w:szCs w:val="24"/>
              </w:rPr>
              <w:t>2.</w:t>
            </w:r>
            <w:r w:rsidRPr="00A80BB8">
              <w:rPr>
                <w:rFonts w:ascii="Arial" w:hAnsi="Arial" w:cs="Arial"/>
                <w:noProof/>
                <w:color w:val="auto"/>
                <w:szCs w:val="24"/>
                <w:lang w:val="es-MX" w:eastAsia="es-MX"/>
              </w:rPr>
              <w:tab/>
            </w:r>
            <w:r w:rsidRPr="00A80BB8">
              <w:rPr>
                <w:rStyle w:val="Hipervnculo"/>
                <w:rFonts w:ascii="Arial" w:hAnsi="Arial" w:cs="Arial"/>
                <w:noProof/>
                <w:color w:val="auto"/>
                <w:szCs w:val="24"/>
              </w:rPr>
              <w:t>FUENTES CONSULTADAS</w:t>
            </w:r>
            <w:r w:rsidRPr="00A80BB8">
              <w:rPr>
                <w:rFonts w:ascii="Arial" w:hAnsi="Arial" w:cs="Arial"/>
                <w:noProof/>
                <w:webHidden/>
                <w:color w:val="auto"/>
                <w:szCs w:val="24"/>
              </w:rPr>
              <w:tab/>
            </w:r>
            <w:r w:rsidRPr="00A80BB8">
              <w:rPr>
                <w:rFonts w:ascii="Arial" w:hAnsi="Arial" w:cs="Arial"/>
                <w:noProof/>
                <w:webHidden/>
                <w:color w:val="auto"/>
                <w:szCs w:val="24"/>
              </w:rPr>
              <w:fldChar w:fldCharType="begin"/>
            </w:r>
            <w:r w:rsidRPr="00A80BB8">
              <w:rPr>
                <w:rFonts w:ascii="Arial" w:hAnsi="Arial" w:cs="Arial"/>
                <w:noProof/>
                <w:webHidden/>
                <w:color w:val="auto"/>
                <w:szCs w:val="24"/>
              </w:rPr>
              <w:instrText xml:space="preserve"> PAGEREF _Toc31107917 \h </w:instrText>
            </w:r>
            <w:r w:rsidRPr="00A80BB8">
              <w:rPr>
                <w:rFonts w:ascii="Arial" w:hAnsi="Arial" w:cs="Arial"/>
                <w:noProof/>
                <w:webHidden/>
                <w:color w:val="auto"/>
                <w:szCs w:val="24"/>
              </w:rPr>
            </w:r>
            <w:r w:rsidRPr="00A80BB8">
              <w:rPr>
                <w:rFonts w:ascii="Arial" w:hAnsi="Arial" w:cs="Arial"/>
                <w:noProof/>
                <w:webHidden/>
                <w:color w:val="auto"/>
                <w:szCs w:val="24"/>
              </w:rPr>
              <w:fldChar w:fldCharType="separate"/>
            </w:r>
            <w:r w:rsidRPr="00A80BB8">
              <w:rPr>
                <w:rFonts w:ascii="Arial" w:hAnsi="Arial" w:cs="Arial"/>
                <w:noProof/>
                <w:webHidden/>
                <w:color w:val="auto"/>
                <w:szCs w:val="24"/>
              </w:rPr>
              <w:t>13</w:t>
            </w:r>
            <w:r w:rsidRPr="00A80BB8">
              <w:rPr>
                <w:rFonts w:ascii="Arial" w:hAnsi="Arial" w:cs="Arial"/>
                <w:noProof/>
                <w:webHidden/>
                <w:color w:val="auto"/>
                <w:szCs w:val="24"/>
              </w:rPr>
              <w:fldChar w:fldCharType="end"/>
            </w:r>
          </w:hyperlink>
        </w:p>
        <w:p w:rsidR="00A80BB8" w:rsidRPr="00A80BB8" w:rsidRDefault="00A80BB8" w:rsidP="00A80BB8">
          <w:pPr>
            <w:pStyle w:val="TDC2"/>
            <w:tabs>
              <w:tab w:val="left" w:pos="880"/>
              <w:tab w:val="right" w:leader="dot" w:pos="8494"/>
            </w:tabs>
            <w:jc w:val="both"/>
            <w:rPr>
              <w:rFonts w:ascii="Arial" w:eastAsiaTheme="minorEastAsia" w:hAnsi="Arial" w:cs="Arial"/>
              <w:noProof/>
              <w:sz w:val="24"/>
              <w:szCs w:val="24"/>
              <w:lang w:eastAsia="es-MX"/>
            </w:rPr>
          </w:pPr>
          <w:hyperlink w:anchor="_Toc31107918" w:history="1">
            <w:r w:rsidRPr="00A80BB8">
              <w:rPr>
                <w:rStyle w:val="Hipervnculo"/>
                <w:rFonts w:ascii="Arial" w:hAnsi="Arial" w:cs="Arial"/>
                <w:noProof/>
                <w:color w:val="auto"/>
                <w:sz w:val="24"/>
                <w:szCs w:val="24"/>
              </w:rPr>
              <w:t>2.1</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CIBEROGRÁFICA:</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_Toc31107918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13</w:t>
            </w:r>
            <w:r w:rsidRPr="00A80BB8">
              <w:rPr>
                <w:rFonts w:ascii="Arial" w:hAnsi="Arial" w:cs="Arial"/>
                <w:noProof/>
                <w:webHidden/>
                <w:sz w:val="24"/>
                <w:szCs w:val="24"/>
              </w:rPr>
              <w:fldChar w:fldCharType="end"/>
            </w:r>
          </w:hyperlink>
        </w:p>
        <w:p w:rsidR="00A80BB8" w:rsidRPr="00A80BB8" w:rsidRDefault="00A80BB8" w:rsidP="00A80BB8">
          <w:pPr>
            <w:pStyle w:val="TDC3"/>
            <w:tabs>
              <w:tab w:val="left" w:pos="1320"/>
              <w:tab w:val="right" w:leader="dot" w:pos="8494"/>
            </w:tabs>
            <w:jc w:val="both"/>
            <w:rPr>
              <w:rFonts w:ascii="Arial" w:eastAsiaTheme="minorEastAsia" w:hAnsi="Arial" w:cs="Arial"/>
              <w:noProof/>
              <w:sz w:val="24"/>
              <w:szCs w:val="24"/>
              <w:lang w:eastAsia="es-MX"/>
            </w:rPr>
          </w:pPr>
          <w:hyperlink w:anchor="_Toc31107919" w:history="1">
            <w:r w:rsidRPr="00A80BB8">
              <w:rPr>
                <w:rStyle w:val="Hipervnculo"/>
                <w:rFonts w:ascii="Arial" w:hAnsi="Arial" w:cs="Arial"/>
                <w:noProof/>
                <w:color w:val="auto"/>
                <w:sz w:val="24"/>
                <w:szCs w:val="24"/>
              </w:rPr>
              <w:t>2.1.1</w:t>
            </w:r>
            <w:r w:rsidRPr="00A80BB8">
              <w:rPr>
                <w:rFonts w:ascii="Arial" w:eastAsiaTheme="minorEastAsia" w:hAnsi="Arial" w:cs="Arial"/>
                <w:noProof/>
                <w:sz w:val="24"/>
                <w:szCs w:val="24"/>
                <w:lang w:eastAsia="es-MX"/>
              </w:rPr>
              <w:tab/>
            </w:r>
            <w:r w:rsidRPr="00A80BB8">
              <w:rPr>
                <w:rStyle w:val="Hipervnculo"/>
                <w:rFonts w:ascii="Arial" w:hAnsi="Arial" w:cs="Arial"/>
                <w:noProof/>
                <w:color w:val="auto"/>
                <w:sz w:val="24"/>
                <w:szCs w:val="24"/>
              </w:rPr>
              <w:t>SEMANARIO JUDICIAL DE LA FEDERACIÓN</w:t>
            </w:r>
            <w:r w:rsidRPr="00A80BB8">
              <w:rPr>
                <w:rFonts w:ascii="Arial" w:hAnsi="Arial" w:cs="Arial"/>
                <w:noProof/>
                <w:webHidden/>
                <w:sz w:val="24"/>
                <w:szCs w:val="24"/>
              </w:rPr>
              <w:tab/>
            </w:r>
            <w:r w:rsidRPr="00A80BB8">
              <w:rPr>
                <w:rFonts w:ascii="Arial" w:hAnsi="Arial" w:cs="Arial"/>
                <w:noProof/>
                <w:webHidden/>
                <w:sz w:val="24"/>
                <w:szCs w:val="24"/>
              </w:rPr>
              <w:fldChar w:fldCharType="begin"/>
            </w:r>
            <w:r w:rsidRPr="00A80BB8">
              <w:rPr>
                <w:rFonts w:ascii="Arial" w:hAnsi="Arial" w:cs="Arial"/>
                <w:noProof/>
                <w:webHidden/>
                <w:sz w:val="24"/>
                <w:szCs w:val="24"/>
              </w:rPr>
              <w:instrText xml:space="preserve"> PAGEREF _Toc31107919 \h </w:instrText>
            </w:r>
            <w:r w:rsidRPr="00A80BB8">
              <w:rPr>
                <w:rFonts w:ascii="Arial" w:hAnsi="Arial" w:cs="Arial"/>
                <w:noProof/>
                <w:webHidden/>
                <w:sz w:val="24"/>
                <w:szCs w:val="24"/>
              </w:rPr>
            </w:r>
            <w:r w:rsidRPr="00A80BB8">
              <w:rPr>
                <w:rFonts w:ascii="Arial" w:hAnsi="Arial" w:cs="Arial"/>
                <w:noProof/>
                <w:webHidden/>
                <w:sz w:val="24"/>
                <w:szCs w:val="24"/>
              </w:rPr>
              <w:fldChar w:fldCharType="separate"/>
            </w:r>
            <w:r w:rsidRPr="00A80BB8">
              <w:rPr>
                <w:rFonts w:ascii="Arial" w:hAnsi="Arial" w:cs="Arial"/>
                <w:noProof/>
                <w:webHidden/>
                <w:sz w:val="24"/>
                <w:szCs w:val="24"/>
              </w:rPr>
              <w:t>13</w:t>
            </w:r>
            <w:r w:rsidRPr="00A80BB8">
              <w:rPr>
                <w:rFonts w:ascii="Arial" w:hAnsi="Arial" w:cs="Arial"/>
                <w:noProof/>
                <w:webHidden/>
                <w:sz w:val="24"/>
                <w:szCs w:val="24"/>
              </w:rPr>
              <w:fldChar w:fldCharType="end"/>
            </w:r>
          </w:hyperlink>
        </w:p>
        <w:p w:rsidR="00A80BB8" w:rsidRDefault="00A80BB8" w:rsidP="00A80BB8">
          <w:pPr>
            <w:jc w:val="both"/>
          </w:pPr>
          <w:r w:rsidRPr="00A80BB8">
            <w:rPr>
              <w:rFonts w:ascii="Arial" w:hAnsi="Arial" w:cs="Arial"/>
              <w:b/>
              <w:bCs/>
              <w:color w:val="auto"/>
              <w:szCs w:val="24"/>
            </w:rPr>
            <w:fldChar w:fldCharType="end"/>
          </w:r>
        </w:p>
      </w:sdtContent>
    </w:sdt>
    <w:p w:rsidR="00A80BB8" w:rsidRDefault="00A80BB8">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AD2515" w:rsidRPr="00583FA7" w:rsidRDefault="00AD2515" w:rsidP="00583FA7">
      <w:pPr>
        <w:pStyle w:val="Ttulo1"/>
        <w:numPr>
          <w:ilvl w:val="0"/>
          <w:numId w:val="7"/>
        </w:numPr>
        <w:jc w:val="center"/>
        <w:rPr>
          <w:rFonts w:ascii="Arial" w:hAnsi="Arial" w:cs="Arial"/>
          <w:color w:val="B35E06" w:themeColor="accent1" w:themeShade="BF"/>
          <w:sz w:val="36"/>
          <w:szCs w:val="36"/>
        </w:rPr>
      </w:pPr>
      <w:bookmarkStart w:id="0" w:name="_Toc31107907"/>
      <w:r w:rsidRPr="00583FA7">
        <w:rPr>
          <w:rFonts w:ascii="Arial" w:hAnsi="Arial" w:cs="Arial"/>
          <w:color w:val="B35E06" w:themeColor="accent1" w:themeShade="BF"/>
          <w:sz w:val="36"/>
          <w:szCs w:val="36"/>
        </w:rPr>
        <w:lastRenderedPageBreak/>
        <w:t>TESIS AISLADAS EN MATERIA CIVIL</w:t>
      </w:r>
      <w:bookmarkEnd w:id="0"/>
    </w:p>
    <w:p w:rsidR="00AD2515" w:rsidRPr="004C3549" w:rsidRDefault="00AD2515" w:rsidP="00C37F1F">
      <w:pPr>
        <w:spacing w:after="0" w:line="240" w:lineRule="auto"/>
        <w:ind w:left="720" w:hanging="720"/>
        <w:jc w:val="both"/>
        <w:rPr>
          <w:rFonts w:ascii="Arial" w:hAnsi="Arial" w:cs="Arial"/>
        </w:rPr>
      </w:pPr>
    </w:p>
    <w:p w:rsidR="00492D0B" w:rsidRPr="004C3549" w:rsidRDefault="00583FA7" w:rsidP="00C37F1F">
      <w:pPr>
        <w:spacing w:after="0" w:line="240" w:lineRule="auto"/>
        <w:ind w:left="720" w:hanging="720"/>
        <w:jc w:val="both"/>
        <w:rPr>
          <w:rFonts w:ascii="Arial" w:hAnsi="Arial" w:cs="Arial"/>
        </w:rPr>
      </w:pPr>
      <w:r>
        <w:rPr>
          <w:rFonts w:ascii="Arial" w:hAnsi="Arial" w:cs="Arial"/>
        </w:rPr>
        <w:t xml:space="preserve">1. </w:t>
      </w:r>
      <w:r w:rsidR="00492D0B" w:rsidRPr="004C3549">
        <w:rPr>
          <w:rFonts w:ascii="Arial" w:hAnsi="Arial" w:cs="Arial"/>
        </w:rPr>
        <w:t xml:space="preserve">Época: Décima Época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Registro: 2021518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Instancia: Primera Sala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Tipo de Tesis: Aislada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Fuente: Semanario Judicial de la Federación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Publicación: viernes 24 de enero de 2020 10:25 h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Materia(s): (Constitucional, Común) </w:t>
      </w: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Tesis: 1a. VII/2020 (10a.) </w:t>
      </w:r>
    </w:p>
    <w:p w:rsidR="00492D0B" w:rsidRPr="004C3549" w:rsidRDefault="00492D0B" w:rsidP="00C37F1F">
      <w:pPr>
        <w:spacing w:after="0" w:line="240" w:lineRule="auto"/>
        <w:jc w:val="both"/>
        <w:rPr>
          <w:rFonts w:ascii="Arial" w:hAnsi="Arial" w:cs="Arial"/>
        </w:rPr>
      </w:pPr>
    </w:p>
    <w:p w:rsidR="00492D0B" w:rsidRPr="00583FA7" w:rsidRDefault="00492D0B" w:rsidP="00583FA7">
      <w:pPr>
        <w:pStyle w:val="Ttulo2"/>
        <w:jc w:val="both"/>
        <w:rPr>
          <w:rFonts w:ascii="Arial" w:hAnsi="Arial" w:cs="Arial"/>
          <w:color w:val="B35E06" w:themeColor="accent1" w:themeShade="BF"/>
          <w:sz w:val="26"/>
          <w:szCs w:val="26"/>
        </w:rPr>
      </w:pPr>
      <w:bookmarkStart w:id="1" w:name="_Toc31107908"/>
      <w:r w:rsidRPr="00583FA7">
        <w:rPr>
          <w:rFonts w:ascii="Arial" w:hAnsi="Arial" w:cs="Arial"/>
          <w:color w:val="B35E06" w:themeColor="accent1" w:themeShade="BF"/>
          <w:sz w:val="26"/>
          <w:szCs w:val="26"/>
        </w:rPr>
        <w:t>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w:t>
      </w:r>
      <w:r w:rsidR="00583FA7">
        <w:rPr>
          <w:rStyle w:val="Refdenotaalpie"/>
          <w:rFonts w:ascii="Arial" w:hAnsi="Arial" w:cs="Arial"/>
          <w:color w:val="B35E06" w:themeColor="accent1" w:themeShade="BF"/>
          <w:sz w:val="26"/>
          <w:szCs w:val="26"/>
        </w:rPr>
        <w:footnoteReference w:id="1"/>
      </w:r>
      <w:bookmarkEnd w:id="1"/>
    </w:p>
    <w:p w:rsidR="00492D0B" w:rsidRPr="004C3549" w:rsidRDefault="00492D0B" w:rsidP="00C37F1F">
      <w:pPr>
        <w:spacing w:after="0" w:line="240" w:lineRule="auto"/>
        <w:jc w:val="both"/>
        <w:rPr>
          <w:rFonts w:ascii="Arial" w:hAnsi="Arial" w:cs="Arial"/>
        </w:rPr>
      </w:pP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Tanto la Constitución Federal como la Ley de Amparo establecen que tratándose de las materias en las que no opera oficiosamente la suplencia de la queja deficiente, la carga argumentativa de demostrar la inconstitucionalidad del acto reclamado recae en el quejoso. De esta forma, no es posible que tratándose de las materias civil, mercantil o administrativa, las cuales se rigen por el principio de estricto derecho, los juzgadores deban, en todos los casos, suplir la queja deficiente; pues ello implicaría ir en contra de lo establecido en el propio texto constitucional, además de que conllevaría que la excepcionalidad de la cual está revestida esta institución se tornara una regla general, lo que desvirtuaría su teleología. De ahí que el artículo 79, fracción VI, de la Ley de Amparo, al disponer que la autoridad que conozca del juicio de amparo deberá suplir la deficiencia de los conceptos de violación o agravios en otras materias cuando se advierta que ha habido en contra del quejoso o del particular recurrente una violación evidente de la ley que lo haya dejado sin defensa por afectar los derechos previstos en el artículo 1o. de la propia ley, no viola el derecho de acceso a la justicia, pues no establece una negación de justicia ni impone una traba innecesaria para que el quejoso pueda acceder al juicio de amparo a defender sus intereses, ya que sólo se trata de un supuesto específico que el legislador incorporó para dar efectividad al medio de </w:t>
      </w:r>
      <w:r w:rsidRPr="004C3549">
        <w:rPr>
          <w:rFonts w:ascii="Arial" w:hAnsi="Arial" w:cs="Arial"/>
        </w:rPr>
        <w:lastRenderedPageBreak/>
        <w:t>protección constitucional en aquellos casos en los que la violación a los derechos fundamentales es palpable y evidente, además de que no excluye una eventual aplicación de las demás fracciones previstas en el artículo 79 citado.</w:t>
      </w:r>
    </w:p>
    <w:p w:rsidR="00492D0B" w:rsidRPr="004C3549" w:rsidRDefault="00492D0B" w:rsidP="00C37F1F">
      <w:pPr>
        <w:spacing w:after="0" w:line="240" w:lineRule="auto"/>
        <w:jc w:val="both"/>
        <w:rPr>
          <w:rFonts w:ascii="Arial" w:hAnsi="Arial" w:cs="Arial"/>
        </w:rPr>
      </w:pPr>
    </w:p>
    <w:p w:rsidR="00492D0B" w:rsidRPr="004C3549" w:rsidRDefault="00492D0B" w:rsidP="00C37F1F">
      <w:pPr>
        <w:spacing w:after="0" w:line="240" w:lineRule="auto"/>
        <w:jc w:val="both"/>
        <w:rPr>
          <w:rFonts w:ascii="Arial" w:hAnsi="Arial" w:cs="Arial"/>
        </w:rPr>
      </w:pPr>
      <w:r w:rsidRPr="004C3549">
        <w:rPr>
          <w:rFonts w:ascii="Arial" w:hAnsi="Arial" w:cs="Arial"/>
        </w:rPr>
        <w:t>PRIMERA SALA</w:t>
      </w:r>
    </w:p>
    <w:p w:rsidR="00492D0B" w:rsidRPr="004C3549" w:rsidRDefault="00492D0B" w:rsidP="00C37F1F">
      <w:pPr>
        <w:spacing w:after="0" w:line="240" w:lineRule="auto"/>
        <w:jc w:val="both"/>
        <w:rPr>
          <w:rFonts w:ascii="Arial" w:hAnsi="Arial" w:cs="Arial"/>
        </w:rPr>
      </w:pP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Amparo directo en revisión 2122/2018. Distribuidora Liverpool, S.A. de C.V. 26 de junio de 2019. Cinco votos de los Ministros Luis María Aguilar Morales, Jorge Mario Pardo Rebolledo, Alfredo Gutiérrez Ortiz Mena, Norma Lucía Piña Hernández y Juan Luis González Alcántara </w:t>
      </w:r>
      <w:proofErr w:type="spellStart"/>
      <w:r w:rsidRPr="004C3549">
        <w:rPr>
          <w:rFonts w:ascii="Arial" w:hAnsi="Arial" w:cs="Arial"/>
        </w:rPr>
        <w:t>Carrancá</w:t>
      </w:r>
      <w:proofErr w:type="spellEnd"/>
      <w:r w:rsidRPr="004C3549">
        <w:rPr>
          <w:rFonts w:ascii="Arial" w:hAnsi="Arial" w:cs="Arial"/>
        </w:rPr>
        <w:t xml:space="preserve">. Ponente: Jorge Mario Pardo Rebolledo. Secretario: Alejandro Castañón Ramírez. </w:t>
      </w:r>
    </w:p>
    <w:p w:rsidR="00492D0B" w:rsidRPr="004C3549" w:rsidRDefault="00492D0B" w:rsidP="00C37F1F">
      <w:pPr>
        <w:spacing w:after="0" w:line="240" w:lineRule="auto"/>
        <w:jc w:val="both"/>
        <w:rPr>
          <w:rFonts w:ascii="Arial" w:hAnsi="Arial" w:cs="Arial"/>
        </w:rPr>
      </w:pPr>
    </w:p>
    <w:p w:rsidR="00492D0B" w:rsidRPr="004C3549" w:rsidRDefault="00492D0B" w:rsidP="00C37F1F">
      <w:pPr>
        <w:spacing w:after="0" w:line="240" w:lineRule="auto"/>
        <w:jc w:val="both"/>
        <w:rPr>
          <w:rFonts w:ascii="Arial" w:hAnsi="Arial" w:cs="Arial"/>
        </w:rPr>
      </w:pPr>
      <w:r w:rsidRPr="004C3549">
        <w:rPr>
          <w:rFonts w:ascii="Arial" w:hAnsi="Arial" w:cs="Arial"/>
        </w:rPr>
        <w:t xml:space="preserve">Esta tesis aparece de igual manera en la compilación de tesis en materia </w:t>
      </w:r>
      <w:r w:rsidR="00AD2515" w:rsidRPr="004C3549">
        <w:rPr>
          <w:rFonts w:ascii="Arial" w:hAnsi="Arial" w:cs="Arial"/>
        </w:rPr>
        <w:t xml:space="preserve">mercantil, </w:t>
      </w:r>
      <w:r w:rsidRPr="004C3549">
        <w:rPr>
          <w:rFonts w:ascii="Arial" w:hAnsi="Arial" w:cs="Arial"/>
        </w:rPr>
        <w:t>administrativa así como  constitucional y amparo.</w:t>
      </w:r>
    </w:p>
    <w:p w:rsidR="00492D0B" w:rsidRPr="004C3549" w:rsidRDefault="00492D0B" w:rsidP="00C37F1F">
      <w:pPr>
        <w:spacing w:after="0" w:line="240" w:lineRule="auto"/>
        <w:jc w:val="both"/>
        <w:rPr>
          <w:rFonts w:ascii="Arial" w:hAnsi="Arial" w:cs="Arial"/>
        </w:rPr>
      </w:pPr>
    </w:p>
    <w:p w:rsidR="00AD2515" w:rsidRPr="004C3549" w:rsidRDefault="00AD2515" w:rsidP="00C37F1F">
      <w:pPr>
        <w:spacing w:after="0" w:line="240" w:lineRule="auto"/>
        <w:jc w:val="both"/>
        <w:rPr>
          <w:rFonts w:ascii="Arial" w:hAnsi="Arial" w:cs="Arial"/>
        </w:rPr>
      </w:pPr>
    </w:p>
    <w:p w:rsidR="00AD2515" w:rsidRPr="004C3549" w:rsidRDefault="00583FA7" w:rsidP="00C37F1F">
      <w:pPr>
        <w:spacing w:after="0" w:line="240" w:lineRule="auto"/>
        <w:jc w:val="both"/>
        <w:rPr>
          <w:rFonts w:ascii="Arial" w:hAnsi="Arial" w:cs="Arial"/>
        </w:rPr>
      </w:pPr>
      <w:r>
        <w:rPr>
          <w:rFonts w:ascii="Arial" w:hAnsi="Arial" w:cs="Arial"/>
        </w:rPr>
        <w:t xml:space="preserve">2. </w:t>
      </w:r>
      <w:r w:rsidR="00AD2515" w:rsidRPr="004C3549">
        <w:rPr>
          <w:rFonts w:ascii="Arial" w:hAnsi="Arial" w:cs="Arial"/>
        </w:rPr>
        <w:t xml:space="preserve">Época: Décima Época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Registro: 2021513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Instancia: Tribunales Colegiados de Circuito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Tipo de Tesis: Aislada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Fuente: Semanario Judicial de la Federación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Publicación: viernes 24 de enero de 2020 10:25 h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Materia(s): (Civil) </w:t>
      </w: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Tesis: I.8o.C.80 C (10a.) </w:t>
      </w:r>
    </w:p>
    <w:p w:rsidR="00AD2515" w:rsidRPr="004C3549" w:rsidRDefault="00AD2515" w:rsidP="00C37F1F">
      <w:pPr>
        <w:spacing w:after="0" w:line="240" w:lineRule="auto"/>
        <w:jc w:val="both"/>
        <w:rPr>
          <w:rFonts w:ascii="Arial" w:hAnsi="Arial" w:cs="Arial"/>
        </w:rPr>
      </w:pPr>
    </w:p>
    <w:p w:rsidR="00AD2515" w:rsidRPr="007C6907" w:rsidRDefault="00AD2515" w:rsidP="007C6907">
      <w:pPr>
        <w:pStyle w:val="Ttulo2"/>
        <w:jc w:val="both"/>
        <w:rPr>
          <w:rFonts w:ascii="Arial" w:hAnsi="Arial" w:cs="Arial"/>
          <w:color w:val="B35E06" w:themeColor="accent1" w:themeShade="BF"/>
          <w:sz w:val="26"/>
          <w:szCs w:val="26"/>
        </w:rPr>
      </w:pPr>
      <w:bookmarkStart w:id="2" w:name="_Toc31107909"/>
      <w:r w:rsidRPr="007C6907">
        <w:rPr>
          <w:rFonts w:ascii="Arial" w:hAnsi="Arial" w:cs="Arial"/>
          <w:color w:val="B35E06" w:themeColor="accent1" w:themeShade="BF"/>
          <w:sz w:val="26"/>
          <w:szCs w:val="26"/>
        </w:rPr>
        <w:t>SEGURO DE VIDA INSTITUCIONAL PARA SERVIDORES PÚBLICOS. ES INNECESARIO QUE EL ASEGURADO CUENTE CON UN FORMATO ESPECÍFICO DE BAJA DE LA DEPENDENCIA PARA LA QUE LABORABA Y PROCEDA SU PAGO, YA QUE NO ES UN REQUISITO NECESARIO PARA QUE PROSPERE LA INDEMNIZACIÓN NI, POR ENDE, PARA QUE INICIE A PARTIR DE LA FECHA DE SU ENTREGA A AQUÉL, EL TÉRMINO DE LA PRESCRIPCIÓN.</w:t>
      </w:r>
      <w:r w:rsidR="007C6907">
        <w:rPr>
          <w:rStyle w:val="Refdenotaalpie"/>
          <w:rFonts w:ascii="Arial" w:hAnsi="Arial" w:cs="Arial"/>
          <w:color w:val="B35E06" w:themeColor="accent1" w:themeShade="BF"/>
          <w:sz w:val="26"/>
          <w:szCs w:val="26"/>
        </w:rPr>
        <w:footnoteReference w:id="2"/>
      </w:r>
      <w:bookmarkEnd w:id="2"/>
    </w:p>
    <w:p w:rsidR="00AD2515" w:rsidRPr="004C3549" w:rsidRDefault="00AD2515" w:rsidP="00C37F1F">
      <w:pPr>
        <w:spacing w:after="0" w:line="240" w:lineRule="auto"/>
        <w:jc w:val="both"/>
        <w:rPr>
          <w:rFonts w:ascii="Arial" w:hAnsi="Arial" w:cs="Arial"/>
        </w:rPr>
      </w:pP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Conforme a las cláusulas de las condiciones del seguro de vida institucional, para el caso de incapacidad total o incapacidad permanente total o invalidez, el siniestro se actualiza cuando se da la baja del asegurado en la secretaría, organismo autónomo o entidad correspondiente, por lo que, para el pago de la </w:t>
      </w:r>
      <w:r w:rsidRPr="004C3549">
        <w:rPr>
          <w:rFonts w:ascii="Arial" w:hAnsi="Arial" w:cs="Arial"/>
        </w:rPr>
        <w:lastRenderedPageBreak/>
        <w:t>suma asegurada deberá presentarse a la compañía aseguradora, entre otros, el aviso de baja de la dependencia, o bien, la hoja única de servicios, pudiendo exhibirse a la aseguradora cualquiera de los dos documentos mencionados. En esa virtud, para los efectos de la prescripción, ésta debe comenzar a partir de la fecha de baja y no a partir de aquella en que el asegurado recibe el formato correspondiente del organismo o dependencia gubernamental, puesto que mientras que el asegurado presente a la aseguradora un documento oficial del que pueda desprenderse la fecha de su baja y su motivo, no existe obstáculo para que la aseguradora, en su caso, pague el seguro; de ahí que no es necesario que el asegurado cuente con un formato específico de baja de la dependencia para la que laboraba, para que proceda el pago, ya que no es un requisito necesario para que prospere la indemnización ni, por ende, para que inicie, a partir de la fecha de su entrega al asegurado, el término para la prescripción.</w:t>
      </w:r>
    </w:p>
    <w:p w:rsidR="004C3549" w:rsidRDefault="004C3549" w:rsidP="00C37F1F">
      <w:pPr>
        <w:spacing w:after="0" w:line="240" w:lineRule="auto"/>
        <w:jc w:val="both"/>
        <w:rPr>
          <w:rFonts w:ascii="Arial" w:hAnsi="Arial" w:cs="Arial"/>
        </w:rPr>
      </w:pPr>
    </w:p>
    <w:p w:rsidR="00AD2515" w:rsidRPr="004C3549" w:rsidRDefault="00AD2515" w:rsidP="00C37F1F">
      <w:pPr>
        <w:spacing w:after="0" w:line="240" w:lineRule="auto"/>
        <w:jc w:val="both"/>
        <w:rPr>
          <w:rFonts w:ascii="Arial" w:hAnsi="Arial" w:cs="Arial"/>
        </w:rPr>
      </w:pPr>
      <w:r w:rsidRPr="004C3549">
        <w:rPr>
          <w:rFonts w:ascii="Arial" w:hAnsi="Arial" w:cs="Arial"/>
        </w:rPr>
        <w:t>OCTAVO TRIBUNAL COLEGIADO EN MATERIA CIVIL DEL PRIMER CIRCUITO.</w:t>
      </w:r>
    </w:p>
    <w:p w:rsidR="00AD2515" w:rsidRPr="004C3549" w:rsidRDefault="00AD2515" w:rsidP="00C37F1F">
      <w:pPr>
        <w:spacing w:after="0" w:line="240" w:lineRule="auto"/>
        <w:jc w:val="both"/>
        <w:rPr>
          <w:rFonts w:ascii="Arial" w:hAnsi="Arial" w:cs="Arial"/>
        </w:rPr>
      </w:pPr>
    </w:p>
    <w:p w:rsidR="00AD2515" w:rsidRPr="004C3549" w:rsidRDefault="00AD2515" w:rsidP="00C37F1F">
      <w:pPr>
        <w:spacing w:after="0" w:line="240" w:lineRule="auto"/>
        <w:jc w:val="both"/>
        <w:rPr>
          <w:rFonts w:ascii="Arial" w:hAnsi="Arial" w:cs="Arial"/>
        </w:rPr>
      </w:pPr>
      <w:r w:rsidRPr="004C3549">
        <w:rPr>
          <w:rFonts w:ascii="Arial" w:hAnsi="Arial" w:cs="Arial"/>
        </w:rPr>
        <w:t xml:space="preserve">Amparo directo 573/2019. Sandra Luz Vega Rojas. 11 de septiembre de 2019. Unanimidad de votos. Ponente: Ma. </w:t>
      </w:r>
      <w:proofErr w:type="gramStart"/>
      <w:r w:rsidRPr="004C3549">
        <w:rPr>
          <w:rFonts w:ascii="Arial" w:hAnsi="Arial" w:cs="Arial"/>
        </w:rPr>
        <w:t>del</w:t>
      </w:r>
      <w:proofErr w:type="gramEnd"/>
      <w:r w:rsidRPr="004C3549">
        <w:rPr>
          <w:rFonts w:ascii="Arial" w:hAnsi="Arial" w:cs="Arial"/>
        </w:rPr>
        <w:t xml:space="preserve"> Refugio González Tamayo. Secretario: Roberto Sáenz García.</w:t>
      </w:r>
    </w:p>
    <w:p w:rsidR="004C3549" w:rsidRDefault="004C3549" w:rsidP="00C37F1F">
      <w:pPr>
        <w:spacing w:after="0" w:line="240" w:lineRule="auto"/>
        <w:jc w:val="both"/>
        <w:rPr>
          <w:rFonts w:ascii="Arial" w:hAnsi="Arial" w:cs="Arial"/>
        </w:rPr>
      </w:pPr>
    </w:p>
    <w:p w:rsidR="00F56264" w:rsidRDefault="00F56264" w:rsidP="00C37F1F">
      <w:pPr>
        <w:spacing w:after="0" w:line="240" w:lineRule="auto"/>
        <w:jc w:val="both"/>
        <w:rPr>
          <w:rFonts w:ascii="Arial" w:hAnsi="Arial" w:cs="Arial"/>
        </w:rPr>
      </w:pPr>
    </w:p>
    <w:p w:rsidR="00F56264" w:rsidRPr="00F56264" w:rsidRDefault="007C6907" w:rsidP="00C37F1F">
      <w:pPr>
        <w:spacing w:after="0" w:line="240" w:lineRule="auto"/>
        <w:jc w:val="both"/>
        <w:rPr>
          <w:rFonts w:ascii="Arial" w:hAnsi="Arial" w:cs="Arial"/>
        </w:rPr>
      </w:pPr>
      <w:r>
        <w:rPr>
          <w:rFonts w:ascii="Arial" w:hAnsi="Arial" w:cs="Arial"/>
        </w:rPr>
        <w:t xml:space="preserve">3. </w:t>
      </w:r>
      <w:r w:rsidR="00F56264" w:rsidRPr="00F56264">
        <w:rPr>
          <w:rFonts w:ascii="Arial" w:hAnsi="Arial" w:cs="Arial"/>
        </w:rPr>
        <w:t xml:space="preserve">Época: Décima Época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Registro: 2021494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Instancia: Tribunales Colegiados de Circuito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Tipo de Tesis: Aislada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Fuente: Semanario Judicial de la Federación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Publicación: viernes 24 de enero de 2020 10:25 h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Materia(s): (Civil) </w:t>
      </w: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Tesis: I.8o.C.83 C (10a.) </w:t>
      </w:r>
    </w:p>
    <w:p w:rsidR="00F56264" w:rsidRPr="00F56264" w:rsidRDefault="00F56264" w:rsidP="00C37F1F">
      <w:pPr>
        <w:spacing w:after="0" w:line="240" w:lineRule="auto"/>
        <w:jc w:val="both"/>
        <w:rPr>
          <w:rFonts w:ascii="Arial" w:hAnsi="Arial" w:cs="Arial"/>
        </w:rPr>
      </w:pPr>
    </w:p>
    <w:p w:rsidR="00F56264" w:rsidRPr="007C6907" w:rsidRDefault="00F56264" w:rsidP="007C6907">
      <w:pPr>
        <w:pStyle w:val="Ttulo2"/>
        <w:jc w:val="both"/>
        <w:rPr>
          <w:rFonts w:ascii="Arial" w:hAnsi="Arial" w:cs="Arial"/>
          <w:sz w:val="26"/>
          <w:szCs w:val="26"/>
        </w:rPr>
      </w:pPr>
      <w:bookmarkStart w:id="3" w:name="_Toc31107910"/>
      <w:r w:rsidRPr="007C6907">
        <w:rPr>
          <w:rFonts w:ascii="Arial" w:hAnsi="Arial" w:cs="Arial"/>
          <w:color w:val="B35E06" w:themeColor="accent1" w:themeShade="BF"/>
          <w:sz w:val="26"/>
          <w:szCs w:val="26"/>
        </w:rPr>
        <w:t>PRESCRIPCIÓN NEGATIVA ENTRE COPROPIETARIOS. NO LA IMPIDE EL ARTÍCULO 1167, FRACCIÓN IV, DEL CÓDIGO CIVIL PARA EL DISTRITO FEDERAL, AHORA CIUDAD DE MÉXICO.</w:t>
      </w:r>
      <w:bookmarkEnd w:id="3"/>
    </w:p>
    <w:p w:rsidR="00F56264" w:rsidRPr="00F56264" w:rsidRDefault="00F56264" w:rsidP="00C37F1F">
      <w:pPr>
        <w:spacing w:after="0" w:line="240" w:lineRule="auto"/>
        <w:jc w:val="both"/>
        <w:rPr>
          <w:rFonts w:ascii="Arial" w:hAnsi="Arial" w:cs="Arial"/>
        </w:rPr>
      </w:pPr>
    </w:p>
    <w:p w:rsidR="00F56264" w:rsidRPr="00F56264" w:rsidRDefault="00F56264" w:rsidP="00C37F1F">
      <w:pPr>
        <w:spacing w:after="0" w:line="240" w:lineRule="auto"/>
        <w:jc w:val="both"/>
        <w:rPr>
          <w:rFonts w:ascii="Arial" w:hAnsi="Arial" w:cs="Arial"/>
        </w:rPr>
      </w:pPr>
      <w:r w:rsidRPr="00F56264">
        <w:rPr>
          <w:rFonts w:ascii="Arial" w:hAnsi="Arial" w:cs="Arial"/>
        </w:rPr>
        <w:t xml:space="preserve">Dicho precepto establece que la prescripción no puede comenzar ni correr entre copropietarios o coposeedores respecto del bien común. Esta disposición, como lo revela su propio texto, debe entenderse referida a la prescripción positiva o usucapión, puesto que la no posibilidad de prescripción la relaciona esa norma con la cosa que poseen varios, o de la que son copropietarios, y </w:t>
      </w:r>
      <w:r w:rsidRPr="00F56264">
        <w:rPr>
          <w:rFonts w:ascii="Arial" w:hAnsi="Arial" w:cs="Arial"/>
        </w:rPr>
        <w:lastRenderedPageBreak/>
        <w:t>esto se corrobora atendiendo al contenido del artículo 1144 del mismo ordenamiento, en cuanto dispone que si varias personas poseen en común una cosa no puede ninguna de ellas prescribir contra sus copropietarios o coposeedores, pero sí puede prescribir contra un extraño y en este caso la prescripción aprovecha a todos los partícipes. En efecto, la primera de esas reglas no es sino consecuencia del principio en el sentido de que el comunero posee tanto en nombre propio, por la parte que le puede corresponder de la cosa común, como en nombre de sus demás copropietarios o coposeedores y, por lo mismo, su posesión no reúne ni puede reunir los requisitos que la ley exige para que se verifique la prescripción adquisitiva, esto es, que sea exclusiva y en nombre propio; lo que no sucede en la otra hipótesis que menciona el precepto últimamente mencionado, toda vez que la posesión del coposeedor sí produce efecto contra un extraño y aprovecha a todos los partícipes para la prescripción positiva, dado que el coposeedor posee también en nombre de ellos, los actos posesorios que ejerce les aprovechan necesariamente, y para prescribir basta poseer por el término y bajo las condiciones de la ley, pudiendo una persona poseer por sí misma o por otra en su nombre. Por tanto, es inexacto que la norma analizada impida la prescripción negativa, toda vez que se refiere a la prescripción positiva.</w:t>
      </w:r>
    </w:p>
    <w:p w:rsidR="00F56264" w:rsidRPr="00F56264" w:rsidRDefault="00F56264" w:rsidP="00C37F1F">
      <w:pPr>
        <w:spacing w:after="0" w:line="240" w:lineRule="auto"/>
        <w:jc w:val="both"/>
        <w:rPr>
          <w:rFonts w:ascii="Arial" w:hAnsi="Arial" w:cs="Arial"/>
        </w:rPr>
      </w:pPr>
    </w:p>
    <w:p w:rsidR="00F56264" w:rsidRPr="00F56264" w:rsidRDefault="00F56264" w:rsidP="00C37F1F">
      <w:pPr>
        <w:spacing w:after="0" w:line="240" w:lineRule="auto"/>
        <w:jc w:val="both"/>
        <w:rPr>
          <w:rFonts w:ascii="Arial" w:hAnsi="Arial" w:cs="Arial"/>
        </w:rPr>
      </w:pPr>
      <w:r w:rsidRPr="00F56264">
        <w:rPr>
          <w:rFonts w:ascii="Arial" w:hAnsi="Arial" w:cs="Arial"/>
        </w:rPr>
        <w:t>OCTAVO TRIBUNAL COLEGIADO EN MATERIA CIVIL DEL PRIMER CIRCUITO.</w:t>
      </w:r>
    </w:p>
    <w:p w:rsidR="00F56264" w:rsidRPr="00F56264" w:rsidRDefault="00F56264" w:rsidP="00C37F1F">
      <w:pPr>
        <w:spacing w:after="0" w:line="240" w:lineRule="auto"/>
        <w:jc w:val="both"/>
        <w:rPr>
          <w:rFonts w:ascii="Arial" w:hAnsi="Arial" w:cs="Arial"/>
        </w:rPr>
      </w:pPr>
    </w:p>
    <w:p w:rsidR="00F56264" w:rsidRPr="00F56264" w:rsidRDefault="00F56264" w:rsidP="00C37F1F">
      <w:pPr>
        <w:spacing w:after="0" w:line="240" w:lineRule="auto"/>
        <w:jc w:val="both"/>
        <w:rPr>
          <w:rFonts w:ascii="Arial" w:hAnsi="Arial" w:cs="Arial"/>
        </w:rPr>
      </w:pPr>
      <w:r w:rsidRPr="00F56264">
        <w:rPr>
          <w:rFonts w:ascii="Arial" w:hAnsi="Arial" w:cs="Arial"/>
        </w:rPr>
        <w:t>Amparo directo 528/2019. Arteaga 823, A.C. 16 de octubre de 2019. Unanimidad de votos. Ponente: Abraham S. Marcos Valdés. Secretaria: Patricia Villa Rodríguez.</w:t>
      </w:r>
    </w:p>
    <w:p w:rsidR="00AD2515" w:rsidRDefault="00AD2515" w:rsidP="00C37F1F">
      <w:pPr>
        <w:spacing w:after="0" w:line="240" w:lineRule="auto"/>
        <w:jc w:val="both"/>
        <w:rPr>
          <w:rFonts w:ascii="Arial" w:hAnsi="Arial" w:cs="Arial"/>
        </w:rPr>
      </w:pPr>
    </w:p>
    <w:p w:rsidR="004F615E" w:rsidRDefault="004F615E" w:rsidP="00C37F1F">
      <w:pPr>
        <w:spacing w:after="0" w:line="240" w:lineRule="auto"/>
        <w:jc w:val="both"/>
        <w:rPr>
          <w:rFonts w:ascii="Arial" w:hAnsi="Arial" w:cs="Arial"/>
        </w:rPr>
      </w:pPr>
    </w:p>
    <w:p w:rsidR="004F615E" w:rsidRPr="004F615E" w:rsidRDefault="007C6907" w:rsidP="00C37F1F">
      <w:pPr>
        <w:spacing w:after="0" w:line="240" w:lineRule="auto"/>
        <w:jc w:val="both"/>
        <w:rPr>
          <w:rFonts w:ascii="Arial" w:hAnsi="Arial" w:cs="Arial"/>
        </w:rPr>
      </w:pPr>
      <w:r>
        <w:rPr>
          <w:rFonts w:ascii="Arial" w:hAnsi="Arial" w:cs="Arial"/>
        </w:rPr>
        <w:t xml:space="preserve">4. </w:t>
      </w:r>
      <w:r w:rsidR="004F615E" w:rsidRPr="004F615E">
        <w:rPr>
          <w:rFonts w:ascii="Arial" w:hAnsi="Arial" w:cs="Arial"/>
        </w:rPr>
        <w:t xml:space="preserve">Época: Décima Época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Registro: 2021493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Instancia: Tribunales Colegiados de Circuito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Tipo de Tesis: Aislada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Fuente: Semanario Judicial de la Federación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Publicación: viernes 24 de enero de 2020 10:25 h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Materia(s): (Civil) </w:t>
      </w: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Tesis: I.10o.C.23 C (10a.) </w:t>
      </w:r>
    </w:p>
    <w:p w:rsidR="004F615E" w:rsidRPr="004F615E" w:rsidRDefault="004F615E" w:rsidP="00C37F1F">
      <w:pPr>
        <w:spacing w:after="0" w:line="240" w:lineRule="auto"/>
        <w:jc w:val="both"/>
        <w:rPr>
          <w:rFonts w:ascii="Arial" w:hAnsi="Arial" w:cs="Arial"/>
        </w:rPr>
      </w:pPr>
    </w:p>
    <w:p w:rsidR="004F615E" w:rsidRPr="007C6907" w:rsidRDefault="004F615E" w:rsidP="007C6907">
      <w:pPr>
        <w:pStyle w:val="Ttulo2"/>
        <w:jc w:val="both"/>
        <w:rPr>
          <w:rFonts w:ascii="Arial" w:hAnsi="Arial" w:cs="Arial"/>
          <w:color w:val="B35E06" w:themeColor="accent1" w:themeShade="BF"/>
          <w:sz w:val="26"/>
          <w:szCs w:val="26"/>
        </w:rPr>
      </w:pPr>
      <w:bookmarkStart w:id="4" w:name="_Toc31107911"/>
      <w:r w:rsidRPr="007C6907">
        <w:rPr>
          <w:rFonts w:ascii="Arial" w:hAnsi="Arial" w:cs="Arial"/>
          <w:color w:val="B35E06" w:themeColor="accent1" w:themeShade="BF"/>
          <w:sz w:val="26"/>
          <w:szCs w:val="26"/>
        </w:rPr>
        <w:lastRenderedPageBreak/>
        <w:t>PRESCRIPCIÓN DE LA ACCIÓN EN MATERIA DE SEGUROS. SU PLAZO SE INTERRUMPE POR EL PROCEDIMIENTO CONCILIATORIO ANTE LA COMISIÓN NACIONAL PARA LA PROTECCIÓN Y DEFENSA DE LOS USUARIOS DE SERVICIOS FINANCIEROS Y SE REINICIA CUANDO SE DEJAN A SALVO LOS DERECHOS DE LAS PARTES EN LA AUDIENCIA RESPECTIVA.</w:t>
      </w:r>
      <w:bookmarkEnd w:id="4"/>
    </w:p>
    <w:p w:rsidR="00511C50" w:rsidRDefault="00511C50" w:rsidP="00C37F1F">
      <w:pPr>
        <w:spacing w:after="0" w:line="240" w:lineRule="auto"/>
        <w:jc w:val="both"/>
        <w:rPr>
          <w:rFonts w:ascii="Arial" w:hAnsi="Arial" w:cs="Arial"/>
        </w:rPr>
      </w:pPr>
    </w:p>
    <w:p w:rsidR="004F615E" w:rsidRPr="004F615E" w:rsidRDefault="004F615E" w:rsidP="00C37F1F">
      <w:pPr>
        <w:spacing w:after="0" w:line="240" w:lineRule="auto"/>
        <w:jc w:val="both"/>
        <w:rPr>
          <w:rFonts w:ascii="Arial" w:hAnsi="Arial" w:cs="Arial"/>
        </w:rPr>
      </w:pPr>
      <w:r w:rsidRPr="004F615E">
        <w:rPr>
          <w:rFonts w:ascii="Arial" w:hAnsi="Arial" w:cs="Arial"/>
        </w:rPr>
        <w:t>El procedimiento de conciliación previsto en el artículo 60 de la Ley de Protección y Defensa al Usuario de Servicios Financieros interrumpe el plazo de la prescripción de la acción en materia de seguros, interrupción que, de conformidad con dicho precepto, continúa hasta que concluya el procedimiento, mismo que se encuentra previsto en los artículos 63, 67 y 68 de la ley citada, de los que se advierte que una vez iniciado mediante la reclamación presentada por un usuario de servicios financieros, la Comisión Nacional para la Protección y Defensa de los Usuarios de Servicios Financieros debe citar a las partes a una audiencia de conciliación en donde las exhortará a llegar a un acuerdo y, en su caso, propondrá la resolución mediante el arbitraje, pero si las partes no se someten a éste, se dejarán a salvo sus derechos para que los hagan valer ante los tribunales competentes o en la vía procedente. De lo anterior se advierte que el procedimiento de conciliación concluye cuando, en la audiencia respectiva, las partes no llegan a un acuerdo y, además, no se someten al arbitraje propuesto por la comisión, pues en ese supuesto se dejan a salvo sus derechos para que los hagan valer con posterioridad, sin que sea óbice para ello, el hecho de que el usuario pueda solicitar el dictamen técnico previsto en los artículos 68 Bis y 68 Bis 1 del ordenamiento invocado, toda vez que su emisión no forma parte del procedimiento de conciliación porque sólo puede elaborarse una vez que se han dejado a salvo los derechos de las partes. De esta manera, cuando esto último ocurre es que el usuario tiene la posibilidad de promover la acción correspondiente y, por tanto, es a partir de este momento cuando se reinicia el cómputo de la prescripción, dado que el afectado ya está en condiciones de hacer valer su derecho.</w:t>
      </w:r>
    </w:p>
    <w:p w:rsidR="004F615E" w:rsidRPr="004F615E" w:rsidRDefault="004F615E" w:rsidP="00C37F1F">
      <w:pPr>
        <w:spacing w:after="0" w:line="240" w:lineRule="auto"/>
        <w:jc w:val="both"/>
        <w:rPr>
          <w:rFonts w:ascii="Arial" w:hAnsi="Arial" w:cs="Arial"/>
        </w:rPr>
      </w:pPr>
    </w:p>
    <w:p w:rsidR="004F615E" w:rsidRPr="004F615E" w:rsidRDefault="004F615E" w:rsidP="00C37F1F">
      <w:pPr>
        <w:spacing w:after="0" w:line="240" w:lineRule="auto"/>
        <w:jc w:val="both"/>
        <w:rPr>
          <w:rFonts w:ascii="Arial" w:hAnsi="Arial" w:cs="Arial"/>
        </w:rPr>
      </w:pPr>
      <w:r w:rsidRPr="004F615E">
        <w:rPr>
          <w:rFonts w:ascii="Arial" w:hAnsi="Arial" w:cs="Arial"/>
        </w:rPr>
        <w:t>DÉCIMO TRIBUNAL COLEGIADO EN MATERIA CIVIL DEL PRIMER CIRCUITO.</w:t>
      </w:r>
    </w:p>
    <w:p w:rsidR="004F615E" w:rsidRPr="004F615E" w:rsidRDefault="004F615E" w:rsidP="00C37F1F">
      <w:pPr>
        <w:spacing w:after="0" w:line="240" w:lineRule="auto"/>
        <w:jc w:val="both"/>
        <w:rPr>
          <w:rFonts w:ascii="Arial" w:hAnsi="Arial" w:cs="Arial"/>
        </w:rPr>
      </w:pPr>
    </w:p>
    <w:p w:rsidR="004F615E" w:rsidRPr="004F615E" w:rsidRDefault="004F615E" w:rsidP="00C37F1F">
      <w:pPr>
        <w:spacing w:after="0" w:line="240" w:lineRule="auto"/>
        <w:jc w:val="both"/>
        <w:rPr>
          <w:rFonts w:ascii="Arial" w:hAnsi="Arial" w:cs="Arial"/>
        </w:rPr>
      </w:pPr>
      <w:r w:rsidRPr="004F615E">
        <w:rPr>
          <w:rFonts w:ascii="Arial" w:hAnsi="Arial" w:cs="Arial"/>
        </w:rPr>
        <w:t xml:space="preserve">Amparo directo 637/2019. Grupo Nacional Provincial, </w:t>
      </w:r>
      <w:proofErr w:type="spellStart"/>
      <w:r w:rsidRPr="004F615E">
        <w:rPr>
          <w:rFonts w:ascii="Arial" w:hAnsi="Arial" w:cs="Arial"/>
        </w:rPr>
        <w:t>S.A.B</w:t>
      </w:r>
      <w:proofErr w:type="spellEnd"/>
      <w:r w:rsidRPr="004F615E">
        <w:rPr>
          <w:rFonts w:ascii="Arial" w:hAnsi="Arial" w:cs="Arial"/>
        </w:rPr>
        <w:t>. 17 de octubre de 2019. Unanimidad de votos. Ponente: Martha Gabriela Sánchez Alonso. Secretario: Rafael García Morales.</w:t>
      </w:r>
    </w:p>
    <w:p w:rsidR="004F615E" w:rsidRPr="004C3549" w:rsidRDefault="004F615E" w:rsidP="00C37F1F">
      <w:pPr>
        <w:spacing w:after="0" w:line="240" w:lineRule="auto"/>
        <w:jc w:val="both"/>
        <w:rPr>
          <w:rFonts w:ascii="Arial" w:hAnsi="Arial" w:cs="Arial"/>
        </w:rPr>
      </w:pPr>
    </w:p>
    <w:p w:rsidR="00511C50" w:rsidRDefault="00511C50" w:rsidP="00C37F1F">
      <w:pPr>
        <w:spacing w:after="0" w:line="240" w:lineRule="auto"/>
        <w:jc w:val="both"/>
        <w:rPr>
          <w:rFonts w:ascii="Arial" w:hAnsi="Arial" w:cs="Arial"/>
        </w:rPr>
      </w:pPr>
    </w:p>
    <w:p w:rsidR="00511C50" w:rsidRPr="00511C50" w:rsidRDefault="007C6907" w:rsidP="00C37F1F">
      <w:pPr>
        <w:spacing w:after="0" w:line="240" w:lineRule="auto"/>
        <w:jc w:val="both"/>
        <w:rPr>
          <w:rFonts w:ascii="Arial" w:hAnsi="Arial" w:cs="Arial"/>
        </w:rPr>
      </w:pPr>
      <w:r>
        <w:rPr>
          <w:rFonts w:ascii="Arial" w:hAnsi="Arial" w:cs="Arial"/>
        </w:rPr>
        <w:lastRenderedPageBreak/>
        <w:t xml:space="preserve">5. </w:t>
      </w:r>
      <w:r w:rsidR="00511C50" w:rsidRPr="00511C50">
        <w:rPr>
          <w:rFonts w:ascii="Arial" w:hAnsi="Arial" w:cs="Arial"/>
        </w:rPr>
        <w:t xml:space="preserve">Época: Décima Época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Registro: 2021488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Instancia: Tribunales Colegiados de Circuito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Tipo de Tesis: Aislada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Fuente: Semanario Judicial de la Federación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Publicación: viernes 24 de enero de 2020 10:25 h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Materia(s): (Común, Civil) </w:t>
      </w:r>
    </w:p>
    <w:p w:rsidR="00511C50" w:rsidRPr="00511C50" w:rsidRDefault="00511C50" w:rsidP="00C37F1F">
      <w:pPr>
        <w:spacing w:after="0" w:line="240" w:lineRule="auto"/>
        <w:jc w:val="both"/>
        <w:rPr>
          <w:rFonts w:ascii="Arial" w:hAnsi="Arial" w:cs="Arial"/>
        </w:rPr>
      </w:pPr>
      <w:r w:rsidRPr="00511C50">
        <w:rPr>
          <w:rFonts w:ascii="Arial" w:hAnsi="Arial" w:cs="Arial"/>
        </w:rPr>
        <w:t xml:space="preserve">Tesis: VII.2o.C.215 C (10a.) </w:t>
      </w:r>
    </w:p>
    <w:p w:rsidR="00511C50" w:rsidRPr="00511C50" w:rsidRDefault="00511C50" w:rsidP="00C37F1F">
      <w:pPr>
        <w:spacing w:after="0" w:line="240" w:lineRule="auto"/>
        <w:jc w:val="both"/>
        <w:rPr>
          <w:rFonts w:ascii="Arial" w:hAnsi="Arial" w:cs="Arial"/>
        </w:rPr>
      </w:pPr>
    </w:p>
    <w:p w:rsidR="00511C50" w:rsidRPr="007C6907" w:rsidRDefault="00511C50" w:rsidP="007C6907">
      <w:pPr>
        <w:pStyle w:val="Ttulo2"/>
        <w:jc w:val="both"/>
        <w:rPr>
          <w:rFonts w:ascii="Arial" w:hAnsi="Arial" w:cs="Arial"/>
          <w:color w:val="B35E06" w:themeColor="accent1" w:themeShade="BF"/>
          <w:sz w:val="26"/>
          <w:szCs w:val="26"/>
        </w:rPr>
      </w:pPr>
      <w:bookmarkStart w:id="5" w:name="_Toc31107912"/>
      <w:r w:rsidRPr="007C6907">
        <w:rPr>
          <w:rFonts w:ascii="Arial" w:hAnsi="Arial" w:cs="Arial"/>
          <w:color w:val="B35E06" w:themeColor="accent1" w:themeShade="BF"/>
          <w:sz w:val="26"/>
          <w:szCs w:val="26"/>
        </w:rPr>
        <w:t>NULIDAD DE NOTIFICACIONES. DEBE INTERPONERSE EL INCIDENTE RELATIVO CUANDO SE RECLAME LA INCONSTITUCIONALIDAD DEL ARTÍCULO 81 DEL CÓDIGO DE PROCEDIMIENTOS CIVILES PARA EL ESTADO DE VERACRUZ.</w:t>
      </w:r>
      <w:r w:rsidR="007C6907">
        <w:rPr>
          <w:rStyle w:val="Refdenotaalpie"/>
          <w:rFonts w:ascii="Arial" w:hAnsi="Arial" w:cs="Arial"/>
          <w:color w:val="B35E06" w:themeColor="accent1" w:themeShade="BF"/>
          <w:sz w:val="26"/>
          <w:szCs w:val="26"/>
        </w:rPr>
        <w:footnoteReference w:id="3"/>
      </w:r>
      <w:bookmarkEnd w:id="5"/>
    </w:p>
    <w:p w:rsidR="00511C50" w:rsidRPr="00511C50" w:rsidRDefault="00511C50" w:rsidP="00C37F1F">
      <w:pPr>
        <w:spacing w:after="0" w:line="240" w:lineRule="auto"/>
        <w:jc w:val="both"/>
        <w:rPr>
          <w:rFonts w:ascii="Arial" w:hAnsi="Arial" w:cs="Arial"/>
        </w:rPr>
      </w:pPr>
    </w:p>
    <w:p w:rsidR="00511C50" w:rsidRPr="00511C50" w:rsidRDefault="00511C50" w:rsidP="00C37F1F">
      <w:pPr>
        <w:spacing w:after="0" w:line="240" w:lineRule="auto"/>
        <w:jc w:val="both"/>
        <w:rPr>
          <w:rFonts w:ascii="Arial" w:hAnsi="Arial" w:cs="Arial"/>
        </w:rPr>
      </w:pPr>
      <w:r w:rsidRPr="00511C50">
        <w:rPr>
          <w:rFonts w:ascii="Arial" w:hAnsi="Arial" w:cs="Arial"/>
        </w:rPr>
        <w:t>Cuando la parte quejosa en un juicio de amparo directo se considere afectada por la notificación realizada por medio de lista de la sentencia definitiva, al considerar que debió ordenarse personalmente, deberá promover el mecanismo idóneo para verificar su legalidad e, incluso, para analizar la constitucionalidad de la norma que la ordena por medio de lista, ya que de conformidad con el nuevo marco constitucional, los órganos jurisdiccionales ordinarios pueden hacer control difuso de las normas y, por ende, es necesaria la interposición del incidente de nulidad cuando reclama la inconstitucionalidad del artículo 81 del Código de Procedimientos Civiles para el Estado de Veracruz.</w:t>
      </w:r>
    </w:p>
    <w:p w:rsidR="00511C50" w:rsidRPr="00511C50" w:rsidRDefault="00511C50" w:rsidP="00C37F1F">
      <w:pPr>
        <w:spacing w:after="0" w:line="240" w:lineRule="auto"/>
        <w:jc w:val="both"/>
        <w:rPr>
          <w:rFonts w:ascii="Arial" w:hAnsi="Arial" w:cs="Arial"/>
        </w:rPr>
      </w:pPr>
    </w:p>
    <w:p w:rsidR="00511C50" w:rsidRPr="00511C50" w:rsidRDefault="00511C50" w:rsidP="00C37F1F">
      <w:pPr>
        <w:spacing w:after="0" w:line="240" w:lineRule="auto"/>
        <w:jc w:val="both"/>
        <w:rPr>
          <w:rFonts w:ascii="Arial" w:hAnsi="Arial" w:cs="Arial"/>
        </w:rPr>
      </w:pPr>
      <w:r w:rsidRPr="00511C50">
        <w:rPr>
          <w:rFonts w:ascii="Arial" w:hAnsi="Arial" w:cs="Arial"/>
        </w:rPr>
        <w:t>SEGUNDO TRIBUNAL COLEGIADO EN MATERIA CIVIL DEL SÉPTIMO CIRCUITO.</w:t>
      </w:r>
    </w:p>
    <w:p w:rsidR="00511C50" w:rsidRPr="00511C50" w:rsidRDefault="00511C50" w:rsidP="00C37F1F">
      <w:pPr>
        <w:spacing w:after="0" w:line="240" w:lineRule="auto"/>
        <w:jc w:val="both"/>
        <w:rPr>
          <w:rFonts w:ascii="Arial" w:hAnsi="Arial" w:cs="Arial"/>
        </w:rPr>
      </w:pPr>
    </w:p>
    <w:p w:rsidR="00511C50" w:rsidRPr="00511C50" w:rsidRDefault="00511C50" w:rsidP="00C37F1F">
      <w:pPr>
        <w:spacing w:after="0" w:line="240" w:lineRule="auto"/>
        <w:jc w:val="both"/>
        <w:rPr>
          <w:rFonts w:ascii="Arial" w:hAnsi="Arial" w:cs="Arial"/>
        </w:rPr>
      </w:pPr>
      <w:r w:rsidRPr="00511C50">
        <w:rPr>
          <w:rFonts w:ascii="Arial" w:hAnsi="Arial" w:cs="Arial"/>
        </w:rPr>
        <w:t>Amparo directo 355/2019. María de los Ángeles Martínez Mendoza. 26 de septiembre de 2019. Unanimidad de votos. Ponente: José Manuel De Alba De Alba. Secretario: Lucio Huesca Ballesteros.</w:t>
      </w:r>
    </w:p>
    <w:p w:rsidR="00511C50" w:rsidRPr="00511C50" w:rsidRDefault="00511C50" w:rsidP="00C37F1F">
      <w:pPr>
        <w:spacing w:after="0" w:line="240" w:lineRule="auto"/>
        <w:jc w:val="both"/>
        <w:rPr>
          <w:rFonts w:ascii="Arial" w:hAnsi="Arial" w:cs="Arial"/>
        </w:rPr>
      </w:pPr>
    </w:p>
    <w:p w:rsidR="00AD2515" w:rsidRDefault="00AD2515" w:rsidP="00C37F1F">
      <w:pPr>
        <w:spacing w:after="0" w:line="240" w:lineRule="auto"/>
        <w:jc w:val="both"/>
        <w:rPr>
          <w:rFonts w:ascii="Arial" w:hAnsi="Arial" w:cs="Arial"/>
        </w:rPr>
      </w:pPr>
    </w:p>
    <w:p w:rsidR="00C37F1F" w:rsidRPr="00C37F1F" w:rsidRDefault="007C6907" w:rsidP="00C37F1F">
      <w:pPr>
        <w:spacing w:after="0" w:line="240" w:lineRule="auto"/>
        <w:jc w:val="both"/>
        <w:rPr>
          <w:rFonts w:ascii="Arial" w:hAnsi="Arial" w:cs="Arial"/>
        </w:rPr>
      </w:pPr>
      <w:r>
        <w:rPr>
          <w:rFonts w:ascii="Arial" w:hAnsi="Arial" w:cs="Arial"/>
        </w:rPr>
        <w:t xml:space="preserve">6. </w:t>
      </w:r>
      <w:r w:rsidR="00C37F1F" w:rsidRPr="00C37F1F">
        <w:rPr>
          <w:rFonts w:ascii="Arial" w:hAnsi="Arial" w:cs="Arial"/>
        </w:rPr>
        <w:t xml:space="preserve">Época: Décima Época </w:t>
      </w: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Registro: 2021485 </w:t>
      </w: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Instancia: Tribunales Colegiados de Circuito </w:t>
      </w: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Tipo de Tesis: Aislada </w:t>
      </w: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Fuente: Semanario Judicial de la Federación </w:t>
      </w: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Publicación: viernes 24 de enero de 2020 10:25 h </w:t>
      </w: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Materia(s): (Común) </w:t>
      </w:r>
    </w:p>
    <w:p w:rsidR="00C37F1F" w:rsidRPr="00C37F1F" w:rsidRDefault="00C37F1F" w:rsidP="00C37F1F">
      <w:pPr>
        <w:spacing w:after="0" w:line="240" w:lineRule="auto"/>
        <w:jc w:val="both"/>
        <w:rPr>
          <w:rFonts w:ascii="Arial" w:hAnsi="Arial" w:cs="Arial"/>
        </w:rPr>
      </w:pPr>
      <w:r w:rsidRPr="00C37F1F">
        <w:rPr>
          <w:rFonts w:ascii="Arial" w:hAnsi="Arial" w:cs="Arial"/>
        </w:rPr>
        <w:lastRenderedPageBreak/>
        <w:t xml:space="preserve">Tesis: VII.2o.C.70 K (10a.) </w:t>
      </w:r>
    </w:p>
    <w:p w:rsidR="00C37F1F" w:rsidRPr="00C37F1F" w:rsidRDefault="00C37F1F" w:rsidP="00C37F1F">
      <w:pPr>
        <w:spacing w:after="0" w:line="240" w:lineRule="auto"/>
        <w:jc w:val="both"/>
        <w:rPr>
          <w:rFonts w:ascii="Arial" w:hAnsi="Arial" w:cs="Arial"/>
        </w:rPr>
      </w:pPr>
    </w:p>
    <w:p w:rsidR="00C37F1F" w:rsidRPr="007C6907" w:rsidRDefault="00C37F1F" w:rsidP="007C6907">
      <w:pPr>
        <w:pStyle w:val="Ttulo2"/>
        <w:jc w:val="both"/>
        <w:rPr>
          <w:rFonts w:ascii="Arial" w:hAnsi="Arial" w:cs="Arial"/>
          <w:sz w:val="26"/>
          <w:szCs w:val="26"/>
        </w:rPr>
      </w:pPr>
      <w:bookmarkStart w:id="6" w:name="_Toc31107913"/>
      <w:r w:rsidRPr="007C6907">
        <w:rPr>
          <w:rFonts w:ascii="Arial" w:hAnsi="Arial" w:cs="Arial"/>
          <w:color w:val="B35E06" w:themeColor="accent1" w:themeShade="BF"/>
          <w:sz w:val="26"/>
          <w:szCs w:val="26"/>
        </w:rPr>
        <w:t>JUICIO SUCESORIO. EL AUTO MEDIANTE EL CUAL SE ADMITE PARCIALMENTE EL ESCRITO INICIAL DE DEMANDA, NO CONSTITUYE UNA VIOLACIÓN SUSTANTIVA CONTRA LA CUAL PROCEDA EL JUICIO DE AMPARO INDIRECTO, PUES NO DA POR CONCLUIDA NINGUNA DE LAS ETAPAS QUE CONFORMAN AQUÉL.</w:t>
      </w:r>
      <w:bookmarkEnd w:id="6"/>
    </w:p>
    <w:p w:rsidR="00C37F1F" w:rsidRPr="00C37F1F" w:rsidRDefault="00C37F1F" w:rsidP="00C37F1F">
      <w:pPr>
        <w:spacing w:after="0" w:line="240" w:lineRule="auto"/>
        <w:jc w:val="both"/>
        <w:rPr>
          <w:rFonts w:ascii="Arial" w:hAnsi="Arial" w:cs="Arial"/>
        </w:rPr>
      </w:pPr>
    </w:p>
    <w:p w:rsidR="00C37F1F" w:rsidRPr="00C37F1F" w:rsidRDefault="00C37F1F" w:rsidP="00C37F1F">
      <w:pPr>
        <w:spacing w:after="0" w:line="240" w:lineRule="auto"/>
        <w:jc w:val="both"/>
        <w:rPr>
          <w:rFonts w:ascii="Arial" w:hAnsi="Arial" w:cs="Arial"/>
        </w:rPr>
      </w:pPr>
      <w:r w:rsidRPr="00C37F1F">
        <w:rPr>
          <w:rFonts w:ascii="Arial" w:hAnsi="Arial" w:cs="Arial"/>
        </w:rPr>
        <w:t xml:space="preserve">Los juicios sucesorios están conformados por cuatro etapas procesales: I. Sucesión; II. Inventarios y avalúos; III. Administración; y, IV. Partición y adjudicación; en ellas, se deciden por separado y mediante una resolución especial las actuaciones y derechos deducidos hasta ese momento procesal, dichas resoluciones, adquieren firmeza plena para las partes que intervienen en esos procedimientos; por ende, al emitirse el auto respectivo no es posible cuestionar aspectos ya decididos en etapas previas. En este sentido, debe señalarse que las violaciones procesales acontecidas durante las tres primeras fases son impugnables en amparo indirecto, en tanto que la última en la vía directa. Por lo que para impugnar las violaciones procesales acontecidas en dichas etapas, debe esperarse a la emisión del auto que da por concluida la sección respectiva; esto es así, pues de impugnarse cada violación procesal se retardaría injustificadamente todo el juicio. En esas condiciones, para determinar la procedencia del juicio de amparo contra las violaciones cometidas durante un juicio sucesorio deben analizarse dos supuestos: el primero, encaminado a analizar si el acto reclamado vulnera derechos sustantivos y, el segundo, el momento procesal en el que se ejercita la vía constitucional. Lo anterior, ya que si el acto reclamado no vulnera derechos sustantivos debe estarse a la espera de que se emita el auto que finaliza la etapa procesal respectiva (principio de </w:t>
      </w:r>
      <w:proofErr w:type="spellStart"/>
      <w:r w:rsidRPr="00C37F1F">
        <w:rPr>
          <w:rFonts w:ascii="Arial" w:hAnsi="Arial" w:cs="Arial"/>
        </w:rPr>
        <w:t>definitividad</w:t>
      </w:r>
      <w:proofErr w:type="spellEnd"/>
      <w:r w:rsidRPr="00C37F1F">
        <w:rPr>
          <w:rFonts w:ascii="Arial" w:hAnsi="Arial" w:cs="Arial"/>
        </w:rPr>
        <w:t>). En congruencia con lo anterior, el auto mediante el cual se admite parcialmente el escrito inicial de un juicio sucesorio y no por el resto de su contenido, no constituye una violación sustantiva, pues si bien impide el ejercicio de algunas acciones, lo cierto es que esas cuestiones son de carácter meramente procesal que no vulneran de forma actual ni material la vida, el patrimonio, la libertad o algún otro derecho de tal naturaleza; en consecuencia, resulta improcedente el juicio constitucional, pues dicha actuación no da por concluida ninguna de las etapas que conforman el juicio sucesorio.</w:t>
      </w:r>
    </w:p>
    <w:p w:rsidR="00C37F1F" w:rsidRPr="00C37F1F" w:rsidRDefault="00C37F1F" w:rsidP="00C37F1F">
      <w:pPr>
        <w:spacing w:after="0" w:line="240" w:lineRule="auto"/>
        <w:jc w:val="both"/>
        <w:rPr>
          <w:rFonts w:ascii="Arial" w:hAnsi="Arial" w:cs="Arial"/>
        </w:rPr>
      </w:pPr>
    </w:p>
    <w:p w:rsidR="00C37F1F" w:rsidRPr="00C37F1F" w:rsidRDefault="00C37F1F" w:rsidP="00C37F1F">
      <w:pPr>
        <w:spacing w:after="0" w:line="240" w:lineRule="auto"/>
        <w:jc w:val="both"/>
        <w:rPr>
          <w:rFonts w:ascii="Arial" w:hAnsi="Arial" w:cs="Arial"/>
        </w:rPr>
      </w:pPr>
      <w:r w:rsidRPr="00C37F1F">
        <w:rPr>
          <w:rFonts w:ascii="Arial" w:hAnsi="Arial" w:cs="Arial"/>
        </w:rPr>
        <w:t>SEGUNDO TRIBUNAL COLEGIADO EN MATERIA CIVIL DEL SÉPTIMO CIRCUITO.</w:t>
      </w:r>
    </w:p>
    <w:p w:rsidR="00C37F1F" w:rsidRPr="00C37F1F" w:rsidRDefault="00C37F1F" w:rsidP="00C37F1F">
      <w:pPr>
        <w:spacing w:after="0" w:line="240" w:lineRule="auto"/>
        <w:jc w:val="both"/>
        <w:rPr>
          <w:rFonts w:ascii="Arial" w:hAnsi="Arial" w:cs="Arial"/>
        </w:rPr>
      </w:pPr>
    </w:p>
    <w:p w:rsidR="00C37F1F" w:rsidRPr="00C37F1F" w:rsidRDefault="00C37F1F" w:rsidP="00C37F1F">
      <w:pPr>
        <w:spacing w:after="0" w:line="240" w:lineRule="auto"/>
        <w:jc w:val="both"/>
        <w:rPr>
          <w:rFonts w:ascii="Arial" w:hAnsi="Arial" w:cs="Arial"/>
        </w:rPr>
      </w:pPr>
      <w:r w:rsidRPr="00C37F1F">
        <w:rPr>
          <w:rFonts w:ascii="Arial" w:hAnsi="Arial" w:cs="Arial"/>
        </w:rPr>
        <w:lastRenderedPageBreak/>
        <w:t xml:space="preserve">Amparo en revisión 250/2019. Irma Mendo Ovando y otras. 10 de octubre de 2019. Unanimidad de votos. Ponente: José Manuel De Alba De Alba. Secretaria: Rubí </w:t>
      </w:r>
      <w:proofErr w:type="spellStart"/>
      <w:r w:rsidRPr="00C37F1F">
        <w:rPr>
          <w:rFonts w:ascii="Arial" w:hAnsi="Arial" w:cs="Arial"/>
        </w:rPr>
        <w:t>Sindirely</w:t>
      </w:r>
      <w:proofErr w:type="spellEnd"/>
      <w:r w:rsidRPr="00C37F1F">
        <w:rPr>
          <w:rFonts w:ascii="Arial" w:hAnsi="Arial" w:cs="Arial"/>
        </w:rPr>
        <w:t xml:space="preserve"> Aguilar </w:t>
      </w:r>
      <w:proofErr w:type="spellStart"/>
      <w:r w:rsidRPr="00C37F1F">
        <w:rPr>
          <w:rFonts w:ascii="Arial" w:hAnsi="Arial" w:cs="Arial"/>
        </w:rPr>
        <w:t>Lasserre</w:t>
      </w:r>
      <w:proofErr w:type="spellEnd"/>
      <w:r w:rsidRPr="00C37F1F">
        <w:rPr>
          <w:rFonts w:ascii="Arial" w:hAnsi="Arial" w:cs="Arial"/>
        </w:rPr>
        <w:t>.</w:t>
      </w:r>
    </w:p>
    <w:p w:rsidR="00C37F1F" w:rsidRPr="00C37F1F" w:rsidRDefault="00C37F1F" w:rsidP="00C37F1F">
      <w:pPr>
        <w:spacing w:after="0" w:line="240" w:lineRule="auto"/>
        <w:jc w:val="both"/>
        <w:rPr>
          <w:rFonts w:ascii="Arial" w:hAnsi="Arial" w:cs="Arial"/>
        </w:rPr>
      </w:pPr>
    </w:p>
    <w:p w:rsidR="00581374" w:rsidRDefault="00581374" w:rsidP="00C37F1F">
      <w:pPr>
        <w:spacing w:after="0" w:line="240" w:lineRule="auto"/>
        <w:jc w:val="both"/>
        <w:rPr>
          <w:rFonts w:ascii="Arial" w:hAnsi="Arial" w:cs="Arial"/>
        </w:rPr>
      </w:pPr>
    </w:p>
    <w:p w:rsidR="00581374" w:rsidRPr="00581374" w:rsidRDefault="007C6907" w:rsidP="00581374">
      <w:pPr>
        <w:spacing w:after="0" w:line="240" w:lineRule="auto"/>
        <w:jc w:val="both"/>
        <w:rPr>
          <w:rFonts w:ascii="Arial" w:hAnsi="Arial" w:cs="Arial"/>
        </w:rPr>
      </w:pPr>
      <w:r>
        <w:rPr>
          <w:rFonts w:ascii="Arial" w:hAnsi="Arial" w:cs="Arial"/>
        </w:rPr>
        <w:t xml:space="preserve">7. </w:t>
      </w:r>
      <w:r w:rsidR="00581374" w:rsidRPr="00581374">
        <w:rPr>
          <w:rFonts w:ascii="Arial" w:hAnsi="Arial" w:cs="Arial"/>
        </w:rPr>
        <w:t xml:space="preserve">Época: Décima Época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Registro: 2021465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Instancia: Tribunales Colegiados de Circuito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Tipo de Tesis: Aislada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Fuente: Semanario Judicial de la Federación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Publicación: viernes 24 de enero de 2020 10:25 h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Materia(s): (Civil) </w:t>
      </w: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Tesis: VI.2o.C.77 C (10a.) </w:t>
      </w:r>
    </w:p>
    <w:p w:rsidR="00581374" w:rsidRPr="00581374" w:rsidRDefault="00581374" w:rsidP="00581374">
      <w:pPr>
        <w:spacing w:after="0" w:line="240" w:lineRule="auto"/>
        <w:jc w:val="both"/>
        <w:rPr>
          <w:rFonts w:ascii="Arial" w:hAnsi="Arial" w:cs="Arial"/>
        </w:rPr>
      </w:pPr>
    </w:p>
    <w:p w:rsidR="00581374" w:rsidRPr="007C6907" w:rsidRDefault="00581374" w:rsidP="007C6907">
      <w:pPr>
        <w:pStyle w:val="Ttulo2"/>
        <w:jc w:val="both"/>
        <w:rPr>
          <w:rFonts w:ascii="Arial" w:hAnsi="Arial" w:cs="Arial"/>
          <w:color w:val="B35E06" w:themeColor="accent1" w:themeShade="BF"/>
          <w:sz w:val="26"/>
          <w:szCs w:val="26"/>
        </w:rPr>
      </w:pPr>
      <w:bookmarkStart w:id="7" w:name="_Toc31107914"/>
      <w:r w:rsidRPr="007C6907">
        <w:rPr>
          <w:rFonts w:ascii="Arial" w:hAnsi="Arial" w:cs="Arial"/>
          <w:color w:val="B35E06" w:themeColor="accent1" w:themeShade="BF"/>
          <w:sz w:val="26"/>
          <w:szCs w:val="26"/>
        </w:rPr>
        <w:t>EMPLAZAMIENTO POR EDICTOS. LA MANIFESTACIÓN DE IGNORAR EL DOMICILIO CORRECTO DEL DEMANDADO BAJO PROTESTA DE DECIR VERDAD, ES UN REQUISITO INDISPENSABLE PARA ORDENARLO DE ESA FORMA, CON INDEPENDENCIA DE QUE SE HAGA AL MOMENTO DE PRESENTAR LA DEMANDA O DESPUÉS DE AGOTAR LOS MEDIOS DE LOCALIZACIÓN PERTINENTES (LEGISLACIÓN DEL ESTADO DE PUEBLA).</w:t>
      </w:r>
      <w:bookmarkEnd w:id="7"/>
    </w:p>
    <w:p w:rsidR="00581374" w:rsidRPr="00581374" w:rsidRDefault="00581374" w:rsidP="00581374">
      <w:pPr>
        <w:spacing w:after="0" w:line="240" w:lineRule="auto"/>
        <w:jc w:val="both"/>
        <w:rPr>
          <w:rFonts w:ascii="Arial" w:hAnsi="Arial" w:cs="Arial"/>
        </w:rPr>
      </w:pPr>
    </w:p>
    <w:p w:rsidR="00581374" w:rsidRPr="00581374" w:rsidRDefault="00581374" w:rsidP="00581374">
      <w:pPr>
        <w:spacing w:after="0" w:line="240" w:lineRule="auto"/>
        <w:jc w:val="both"/>
        <w:rPr>
          <w:rFonts w:ascii="Arial" w:hAnsi="Arial" w:cs="Arial"/>
        </w:rPr>
      </w:pPr>
      <w:r w:rsidRPr="00581374">
        <w:rPr>
          <w:rFonts w:ascii="Arial" w:hAnsi="Arial" w:cs="Arial"/>
        </w:rPr>
        <w:t>La manifestación bajo protesta de decir verdad de ignorar el domicilio correcto de la demandada, de acuerdo con el artículo 62 del Código de Procedimientos Civiles para el Estado de Puebla, no debe entenderse como un requisito que deba satisfacerse solamente cuando esa circunstancia acontece desde el inicio del juicio, sino que dicho requisito debe observarse siempre que se pretenda emplazar a la enjuiciada mediante edictos, con independencia de que se haga al momento de presentar la demanda o con posterioridad, incluso, después de haber agotado los medios y de haber realizado las gestiones necesarias para localizar el domicilio correcto del demandado, o de que el notificador haya acudido al domicilio proporcionado por el Registro Federal de Electores, sin haber logrado el emplazamiento. Por ese motivo, es una obligación ineludible para la actora manifestar el desconocimiento del referido domicilio bajo protesta de decir verdad, pues constituye el elemento inicial para que el juzgador determine la manera en que deberá proceder para llamar a juicio al demandado. Por tanto, una vez que la actora manifieste su desconocimiento bajo protesta de decir verdad, queda vinculada con el contenido de su declaración, esto, con la finalidad de procurar una relación procesal simétrica entre las partes dentro de juicio.</w:t>
      </w:r>
    </w:p>
    <w:p w:rsidR="00581374" w:rsidRPr="00581374" w:rsidRDefault="00581374" w:rsidP="00581374">
      <w:pPr>
        <w:spacing w:after="0" w:line="240" w:lineRule="auto"/>
        <w:jc w:val="both"/>
        <w:rPr>
          <w:rFonts w:ascii="Arial" w:hAnsi="Arial" w:cs="Arial"/>
        </w:rPr>
      </w:pPr>
    </w:p>
    <w:p w:rsidR="00581374" w:rsidRPr="00581374" w:rsidRDefault="00581374" w:rsidP="00581374">
      <w:pPr>
        <w:spacing w:after="0" w:line="240" w:lineRule="auto"/>
        <w:jc w:val="both"/>
        <w:rPr>
          <w:rFonts w:ascii="Arial" w:hAnsi="Arial" w:cs="Arial"/>
        </w:rPr>
      </w:pPr>
      <w:r w:rsidRPr="00581374">
        <w:rPr>
          <w:rFonts w:ascii="Arial" w:hAnsi="Arial" w:cs="Arial"/>
        </w:rPr>
        <w:t>SEGUNDO TRIBUNAL COLEGIADO EN MATERIA CIVIL DEL SEXTO CIRCUITO.</w:t>
      </w:r>
    </w:p>
    <w:p w:rsidR="00581374" w:rsidRPr="00581374" w:rsidRDefault="00581374" w:rsidP="00581374">
      <w:pPr>
        <w:spacing w:after="0" w:line="240" w:lineRule="auto"/>
        <w:jc w:val="both"/>
        <w:rPr>
          <w:rFonts w:ascii="Arial" w:hAnsi="Arial" w:cs="Arial"/>
        </w:rPr>
      </w:pPr>
    </w:p>
    <w:p w:rsidR="00581374" w:rsidRPr="00581374" w:rsidRDefault="00581374" w:rsidP="00581374">
      <w:pPr>
        <w:spacing w:after="0" w:line="240" w:lineRule="auto"/>
        <w:jc w:val="both"/>
        <w:rPr>
          <w:rFonts w:ascii="Arial" w:hAnsi="Arial" w:cs="Arial"/>
        </w:rPr>
      </w:pPr>
      <w:r w:rsidRPr="00581374">
        <w:rPr>
          <w:rFonts w:ascii="Arial" w:hAnsi="Arial" w:cs="Arial"/>
        </w:rPr>
        <w:t xml:space="preserve">Amparo en revisión 510/2018. Constructora </w:t>
      </w:r>
      <w:proofErr w:type="spellStart"/>
      <w:r w:rsidRPr="00581374">
        <w:rPr>
          <w:rFonts w:ascii="Arial" w:hAnsi="Arial" w:cs="Arial"/>
        </w:rPr>
        <w:t>Cuapiaxtla</w:t>
      </w:r>
      <w:proofErr w:type="spellEnd"/>
      <w:r w:rsidRPr="00581374">
        <w:rPr>
          <w:rFonts w:ascii="Arial" w:hAnsi="Arial" w:cs="Arial"/>
        </w:rPr>
        <w:t>, S.A. de C.V. 24 de octubre de 2019. Unanimidad de votos. Ponente: José Gabriel Clemente Rodríguez. Secretario: Víctor Manuel Mojica Cruz.</w:t>
      </w:r>
    </w:p>
    <w:p w:rsidR="00581374" w:rsidRPr="00581374" w:rsidRDefault="00581374" w:rsidP="00581374">
      <w:pPr>
        <w:spacing w:after="0" w:line="240" w:lineRule="auto"/>
        <w:jc w:val="both"/>
        <w:rPr>
          <w:rFonts w:ascii="Arial" w:hAnsi="Arial" w:cs="Arial"/>
        </w:rPr>
      </w:pPr>
    </w:p>
    <w:p w:rsidR="00581374" w:rsidRDefault="00581374" w:rsidP="00C37F1F">
      <w:pPr>
        <w:spacing w:after="0" w:line="240" w:lineRule="auto"/>
        <w:jc w:val="both"/>
        <w:rPr>
          <w:rFonts w:ascii="Arial" w:hAnsi="Arial" w:cs="Arial"/>
        </w:rPr>
      </w:pPr>
    </w:p>
    <w:p w:rsidR="00000EA6" w:rsidRPr="00000EA6" w:rsidRDefault="007C6907" w:rsidP="00000EA6">
      <w:pPr>
        <w:spacing w:after="0" w:line="240" w:lineRule="auto"/>
        <w:jc w:val="both"/>
        <w:rPr>
          <w:rFonts w:ascii="Arial" w:hAnsi="Arial" w:cs="Arial"/>
        </w:rPr>
      </w:pPr>
      <w:r>
        <w:rPr>
          <w:rFonts w:ascii="Arial" w:hAnsi="Arial" w:cs="Arial"/>
        </w:rPr>
        <w:t xml:space="preserve">8. </w:t>
      </w:r>
      <w:r w:rsidR="00000EA6" w:rsidRPr="00000EA6">
        <w:rPr>
          <w:rFonts w:ascii="Arial" w:hAnsi="Arial" w:cs="Arial"/>
        </w:rPr>
        <w:t xml:space="preserve">Época: Décima Época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Registro: 2021459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Instancia: Tribunales Colegiados de Circuito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Tipo de Tesis: Aislada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Fuente: Semanario Judicial de la Federación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Publicación: viernes 24 de enero de 2020 10:25 h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Materia(s): (Civil) </w:t>
      </w:r>
    </w:p>
    <w:p w:rsidR="00000EA6" w:rsidRPr="00000EA6" w:rsidRDefault="00000EA6" w:rsidP="00000EA6">
      <w:pPr>
        <w:spacing w:after="0" w:line="240" w:lineRule="auto"/>
        <w:jc w:val="both"/>
        <w:rPr>
          <w:rFonts w:ascii="Arial" w:hAnsi="Arial" w:cs="Arial"/>
        </w:rPr>
      </w:pPr>
      <w:r w:rsidRPr="00000EA6">
        <w:rPr>
          <w:rFonts w:ascii="Arial" w:hAnsi="Arial" w:cs="Arial"/>
        </w:rPr>
        <w:t xml:space="preserve">Tesis: VII.2o.C.68 K (10a.) </w:t>
      </w:r>
    </w:p>
    <w:p w:rsidR="00000EA6" w:rsidRPr="00000EA6" w:rsidRDefault="00000EA6" w:rsidP="00000EA6">
      <w:pPr>
        <w:spacing w:after="0" w:line="240" w:lineRule="auto"/>
        <w:jc w:val="both"/>
        <w:rPr>
          <w:rFonts w:ascii="Arial" w:hAnsi="Arial" w:cs="Arial"/>
        </w:rPr>
      </w:pPr>
    </w:p>
    <w:p w:rsidR="00000EA6" w:rsidRPr="007C6907" w:rsidRDefault="00000EA6" w:rsidP="007C6907">
      <w:pPr>
        <w:pStyle w:val="Ttulo2"/>
        <w:jc w:val="both"/>
        <w:rPr>
          <w:rFonts w:ascii="Arial" w:hAnsi="Arial" w:cs="Arial"/>
          <w:color w:val="B35E06" w:themeColor="accent1" w:themeShade="BF"/>
          <w:sz w:val="26"/>
          <w:szCs w:val="26"/>
        </w:rPr>
      </w:pPr>
      <w:bookmarkStart w:id="8" w:name="_Toc31107915"/>
      <w:r w:rsidRPr="007C6907">
        <w:rPr>
          <w:rFonts w:ascii="Arial" w:hAnsi="Arial" w:cs="Arial"/>
          <w:color w:val="B35E06" w:themeColor="accent1" w:themeShade="BF"/>
          <w:sz w:val="26"/>
          <w:szCs w:val="26"/>
        </w:rPr>
        <w:t>COSA JUZGADA. LA PRESCRIPCIÓN DE LA ACCIÓN ACTUALIZA, EXCEPCIONALMENTE, DICHA INSTITUCIÓN JURÍDICA.</w:t>
      </w:r>
      <w:bookmarkEnd w:id="8"/>
    </w:p>
    <w:p w:rsidR="00000EA6" w:rsidRPr="00000EA6" w:rsidRDefault="00000EA6" w:rsidP="00000EA6">
      <w:pPr>
        <w:spacing w:after="0" w:line="240" w:lineRule="auto"/>
        <w:jc w:val="both"/>
        <w:rPr>
          <w:rFonts w:ascii="Arial" w:hAnsi="Arial" w:cs="Arial"/>
        </w:rPr>
      </w:pPr>
    </w:p>
    <w:p w:rsidR="00000EA6" w:rsidRPr="00000EA6" w:rsidRDefault="00000EA6" w:rsidP="00000EA6">
      <w:pPr>
        <w:spacing w:after="0" w:line="240" w:lineRule="auto"/>
        <w:jc w:val="both"/>
        <w:rPr>
          <w:rFonts w:ascii="Arial" w:hAnsi="Arial" w:cs="Arial"/>
        </w:rPr>
      </w:pPr>
      <w:r w:rsidRPr="00000EA6">
        <w:rPr>
          <w:rFonts w:ascii="Arial" w:hAnsi="Arial" w:cs="Arial"/>
        </w:rPr>
        <w:t>Aun cuando por regla general, el Pleno de la Suprema Corte de Justicia de la Nación ha sostenido que la institución de la cosa juzgada se ubica en la sentencia obtenida de un auténtico proceso judicial, entendido como el seguido con las formalidades esenciales del procedimiento, previstas en el artículo 14 de la Constitución Política de los Estados Unidos Mexicanos; existen excepciones al respecto, en virtud de que la cosa juzgada no sólo se instituye en el ordenamiento jurídico como resultado de un juicio regular que ha concluido en todas sus instancias, sino también cuando sobreviene una causa de improcedencia que haga extinta la acción, como ocurre con la prescripción, pues de ella deriva la inmutabilidad de la sentencia. Por lo que dicha situación no puede desconocerse en un nuevo juicio en donde concurran identidad de la cosa demandada, las causas, las personas litigantes y la calidad con que intervinieron; consecuentemente, la prescripción de la acción actualiza, excepcionalmente, la cosa juzgada.</w:t>
      </w:r>
    </w:p>
    <w:p w:rsidR="00000EA6" w:rsidRPr="00000EA6" w:rsidRDefault="00000EA6" w:rsidP="00000EA6">
      <w:pPr>
        <w:spacing w:after="0" w:line="240" w:lineRule="auto"/>
        <w:jc w:val="both"/>
        <w:rPr>
          <w:rFonts w:ascii="Arial" w:hAnsi="Arial" w:cs="Arial"/>
        </w:rPr>
      </w:pPr>
    </w:p>
    <w:p w:rsidR="00000EA6" w:rsidRPr="00000EA6" w:rsidRDefault="00000EA6" w:rsidP="00000EA6">
      <w:pPr>
        <w:spacing w:after="0" w:line="240" w:lineRule="auto"/>
        <w:jc w:val="both"/>
        <w:rPr>
          <w:rFonts w:ascii="Arial" w:hAnsi="Arial" w:cs="Arial"/>
        </w:rPr>
      </w:pPr>
      <w:r w:rsidRPr="00000EA6">
        <w:rPr>
          <w:rFonts w:ascii="Arial" w:hAnsi="Arial" w:cs="Arial"/>
        </w:rPr>
        <w:t>SEGUNDO TRIBUNAL COLEGIADO EN MATERIA CIVIL DEL SÉPTIMO CIRCUITO.</w:t>
      </w:r>
    </w:p>
    <w:p w:rsidR="00000EA6" w:rsidRPr="00000EA6" w:rsidRDefault="00000EA6" w:rsidP="00000EA6">
      <w:pPr>
        <w:spacing w:after="0" w:line="240" w:lineRule="auto"/>
        <w:jc w:val="both"/>
        <w:rPr>
          <w:rFonts w:ascii="Arial" w:hAnsi="Arial" w:cs="Arial"/>
        </w:rPr>
      </w:pPr>
    </w:p>
    <w:p w:rsidR="00000EA6" w:rsidRPr="00000EA6" w:rsidRDefault="00000EA6" w:rsidP="00000EA6">
      <w:pPr>
        <w:spacing w:after="0" w:line="240" w:lineRule="auto"/>
        <w:jc w:val="both"/>
        <w:rPr>
          <w:rFonts w:ascii="Arial" w:hAnsi="Arial" w:cs="Arial"/>
        </w:rPr>
      </w:pPr>
      <w:r w:rsidRPr="00000EA6">
        <w:rPr>
          <w:rFonts w:ascii="Arial" w:hAnsi="Arial" w:cs="Arial"/>
        </w:rPr>
        <w:lastRenderedPageBreak/>
        <w:t xml:space="preserve">Amparo directo 835/2018. Roberto Carlos Nieto Gamboa. 26 de septiembre de 2019. Unanimidad de votos. Ponente: José Manuel De Alba De Alba. Secretaria: Rubí </w:t>
      </w:r>
      <w:proofErr w:type="spellStart"/>
      <w:r w:rsidRPr="00000EA6">
        <w:rPr>
          <w:rFonts w:ascii="Arial" w:hAnsi="Arial" w:cs="Arial"/>
        </w:rPr>
        <w:t>Sindirely</w:t>
      </w:r>
      <w:proofErr w:type="spellEnd"/>
      <w:r w:rsidRPr="00000EA6">
        <w:rPr>
          <w:rFonts w:ascii="Arial" w:hAnsi="Arial" w:cs="Arial"/>
        </w:rPr>
        <w:t xml:space="preserve"> Aguilar </w:t>
      </w:r>
      <w:proofErr w:type="spellStart"/>
      <w:r w:rsidRPr="00000EA6">
        <w:rPr>
          <w:rFonts w:ascii="Arial" w:hAnsi="Arial" w:cs="Arial"/>
        </w:rPr>
        <w:t>Lasserre</w:t>
      </w:r>
      <w:proofErr w:type="spellEnd"/>
      <w:r w:rsidRPr="00000EA6">
        <w:rPr>
          <w:rFonts w:ascii="Arial" w:hAnsi="Arial" w:cs="Arial"/>
        </w:rPr>
        <w:t>.</w:t>
      </w:r>
    </w:p>
    <w:p w:rsidR="00000EA6" w:rsidRPr="00000EA6" w:rsidRDefault="00000EA6" w:rsidP="00000EA6">
      <w:pPr>
        <w:spacing w:after="0" w:line="240" w:lineRule="auto"/>
        <w:jc w:val="both"/>
        <w:rPr>
          <w:rFonts w:ascii="Arial" w:hAnsi="Arial" w:cs="Arial"/>
        </w:rPr>
      </w:pPr>
    </w:p>
    <w:p w:rsidR="00000EA6" w:rsidRDefault="00000EA6" w:rsidP="00C37F1F">
      <w:pPr>
        <w:spacing w:after="0" w:line="240" w:lineRule="auto"/>
        <w:jc w:val="both"/>
        <w:rPr>
          <w:rFonts w:ascii="Arial" w:hAnsi="Arial" w:cs="Arial"/>
        </w:rPr>
      </w:pPr>
    </w:p>
    <w:p w:rsidR="008359D1" w:rsidRPr="008359D1" w:rsidRDefault="007C6907" w:rsidP="008359D1">
      <w:pPr>
        <w:spacing w:after="0" w:line="240" w:lineRule="auto"/>
        <w:jc w:val="both"/>
        <w:rPr>
          <w:rFonts w:ascii="Arial" w:hAnsi="Arial" w:cs="Arial"/>
        </w:rPr>
      </w:pPr>
      <w:r>
        <w:rPr>
          <w:rFonts w:ascii="Arial" w:hAnsi="Arial" w:cs="Arial"/>
        </w:rPr>
        <w:t xml:space="preserve">9. </w:t>
      </w:r>
      <w:r w:rsidR="008359D1" w:rsidRPr="008359D1">
        <w:rPr>
          <w:rFonts w:ascii="Arial" w:hAnsi="Arial" w:cs="Arial"/>
        </w:rPr>
        <w:t xml:space="preserve">Época: Décima Época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Registro: 2021458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Instancia: Tribunales Colegiados de Circuito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Tipo de Tesis: Aislada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Fuente: Semanario Judicial de la Federación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Publicación: viernes 24 de enero de 2020 10:25 h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Materia(s): (Civil) </w:t>
      </w: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Tesis: I.2o.C.26 C (10a.) </w:t>
      </w:r>
    </w:p>
    <w:p w:rsidR="008359D1" w:rsidRPr="008359D1" w:rsidRDefault="008359D1" w:rsidP="008359D1">
      <w:pPr>
        <w:spacing w:after="0" w:line="240" w:lineRule="auto"/>
        <w:jc w:val="both"/>
        <w:rPr>
          <w:rFonts w:ascii="Arial" w:hAnsi="Arial" w:cs="Arial"/>
        </w:rPr>
      </w:pPr>
    </w:p>
    <w:p w:rsidR="008359D1" w:rsidRPr="007C6907" w:rsidRDefault="008359D1" w:rsidP="007C6907">
      <w:pPr>
        <w:pStyle w:val="Ttulo2"/>
        <w:jc w:val="both"/>
        <w:rPr>
          <w:rFonts w:ascii="Arial" w:hAnsi="Arial" w:cs="Arial"/>
          <w:sz w:val="26"/>
          <w:szCs w:val="26"/>
        </w:rPr>
      </w:pPr>
      <w:bookmarkStart w:id="9" w:name="_Toc31107916"/>
      <w:r w:rsidRPr="007C6907">
        <w:rPr>
          <w:rFonts w:ascii="Arial" w:hAnsi="Arial" w:cs="Arial"/>
          <w:color w:val="B35E06" w:themeColor="accent1" w:themeShade="BF"/>
          <w:sz w:val="26"/>
          <w:szCs w:val="26"/>
        </w:rPr>
        <w:t>CONTRATO DE SEGURO DE VIDA. EL PLAZO APLICABLE PARA LA PRESCRIPCIÓN DE LA ACCIÓN PARA RECLAMAR EL PAGO DE LA COBERTURA RELATIVA, ES EL ESTABLECIDO EN LA LEY VIGENTE AL MOMENTO DEL FALLECIMIENTO DEL ASEGURADO, AL SER ÉSTE EL QUE MARCA EL SURGIMIENTO DE ESA ACCIÓN.</w:t>
      </w:r>
      <w:bookmarkEnd w:id="9"/>
    </w:p>
    <w:p w:rsidR="008359D1" w:rsidRPr="008359D1" w:rsidRDefault="008359D1" w:rsidP="008359D1">
      <w:pPr>
        <w:spacing w:after="0" w:line="240" w:lineRule="auto"/>
        <w:jc w:val="both"/>
        <w:rPr>
          <w:rFonts w:ascii="Arial" w:hAnsi="Arial" w:cs="Arial"/>
        </w:rPr>
      </w:pPr>
    </w:p>
    <w:p w:rsidR="008359D1" w:rsidRPr="008359D1" w:rsidRDefault="008359D1" w:rsidP="008359D1">
      <w:pPr>
        <w:spacing w:after="0" w:line="240" w:lineRule="auto"/>
        <w:jc w:val="both"/>
        <w:rPr>
          <w:rFonts w:ascii="Arial" w:hAnsi="Arial" w:cs="Arial"/>
        </w:rPr>
      </w:pPr>
      <w:r w:rsidRPr="008359D1">
        <w:rPr>
          <w:rFonts w:ascii="Arial" w:hAnsi="Arial" w:cs="Arial"/>
        </w:rPr>
        <w:t xml:space="preserve">La prescripción extintiva o liberatoria, como medio que permite liberar obligaciones al considerar extinguido un derecho como consecuencia de su falta de ejercicio durante el plazo establecido en la ley, se constituye como una excepción para repeler la acción y como tal, el inicio del plazo necesario para prescribir, surge paralelamente a la acción que tiene el beneficiario para reclamar el pago de la cobertura amparada en el contrato de seguro de vida, ya que la acción emerge del derecho insatisfecho. En esa medida, de conformidad con el artículo 81 de la Ley sobre el Contrato de Seguro, tratándose de la cobertura de fallecimiento en los seguros de vida, tanto las acciones que deriven del contrato de seguro, como el inicio del plazo para que se configure la prescripción, se manifiesta a partir del acontecimiento que les dio origen, esto es, el fallecimiento del asegurado, pues sólo hasta entonces, la acción puede ser ejercida legalmente y, en consecuencia, puede estar sujeta a quedar extinguida por prescripción. En ese orden, cuando el contrato de seguro se celebra bajo la vigencia del artículo 81 de la Ley sobre el Contrato de Seguro, anterior a la reforma publicada el seis de mayo de dos mil nueve, que preveía como plazo para la prescripción el de dos años, y en armonía con ello se estableció ese plazo en las condiciones generales del seguro, pero el fallecimiento tiene lugar cuando ya está en vigor la reforma que amplió a cinco años el plazo para prescribir, el aplicable para la prescripción es el plazo </w:t>
      </w:r>
      <w:r w:rsidRPr="008359D1">
        <w:rPr>
          <w:rFonts w:ascii="Arial" w:hAnsi="Arial" w:cs="Arial"/>
        </w:rPr>
        <w:lastRenderedPageBreak/>
        <w:t>establecido en la nueva ley, al ser la vigente al nacimiento de la acción y correspondiente al inicio del plazo para prescribir, sin que ello represente una aplicación retroactiva, porque antes de que aconteciera el hecho que dio surgimiento a la acción, el derecho del beneficiario a instaurarla no tenía el carácter de derecho adquirido, sino se trataba de una mera expectativa de ese derecho, por lo cual, es el acontecimiento que da origen a la acción el que da inicio al plazo para prescribir. Es decir, es el fallecimiento del asegurado el que determina la ley aplicable, por ser este hecho el que marca el momento de surgimiento de la acción para reclamar el pago de la cobertura en los contratos de seguro de vida y de la posibilidad para prescribir.</w:t>
      </w:r>
    </w:p>
    <w:p w:rsidR="008359D1" w:rsidRPr="008359D1" w:rsidRDefault="008359D1" w:rsidP="008359D1">
      <w:pPr>
        <w:spacing w:after="0" w:line="240" w:lineRule="auto"/>
        <w:jc w:val="both"/>
        <w:rPr>
          <w:rFonts w:ascii="Arial" w:hAnsi="Arial" w:cs="Arial"/>
        </w:rPr>
      </w:pPr>
    </w:p>
    <w:p w:rsidR="008359D1" w:rsidRPr="008359D1" w:rsidRDefault="008359D1" w:rsidP="008359D1">
      <w:pPr>
        <w:spacing w:after="0" w:line="240" w:lineRule="auto"/>
        <w:jc w:val="both"/>
        <w:rPr>
          <w:rFonts w:ascii="Arial" w:hAnsi="Arial" w:cs="Arial"/>
        </w:rPr>
      </w:pPr>
      <w:r w:rsidRPr="008359D1">
        <w:rPr>
          <w:rFonts w:ascii="Arial" w:hAnsi="Arial" w:cs="Arial"/>
        </w:rPr>
        <w:t>SEGUNDO TRIBUNAL COLEGIADO EN MATERIA CIVIL DEL PRIMER CIRCUITO.</w:t>
      </w:r>
    </w:p>
    <w:p w:rsidR="008359D1" w:rsidRPr="008359D1" w:rsidRDefault="008359D1" w:rsidP="008359D1">
      <w:pPr>
        <w:spacing w:after="0" w:line="240" w:lineRule="auto"/>
        <w:jc w:val="both"/>
        <w:rPr>
          <w:rFonts w:ascii="Arial" w:hAnsi="Arial" w:cs="Arial"/>
        </w:rPr>
      </w:pPr>
    </w:p>
    <w:p w:rsidR="008359D1" w:rsidRPr="008359D1" w:rsidRDefault="008359D1" w:rsidP="008359D1">
      <w:pPr>
        <w:spacing w:after="0" w:line="240" w:lineRule="auto"/>
        <w:jc w:val="both"/>
        <w:rPr>
          <w:rFonts w:ascii="Arial" w:hAnsi="Arial" w:cs="Arial"/>
        </w:rPr>
      </w:pPr>
      <w:r w:rsidRPr="008359D1">
        <w:rPr>
          <w:rFonts w:ascii="Arial" w:hAnsi="Arial" w:cs="Arial"/>
        </w:rPr>
        <w:t>Amparo directo 4/2019. Seguros Banamex, S.A. de C.V., Integrante del Grupo Financiero Banamex. 16 de agosto de 2019. Unanimidad de votos. Ponente: Alejandro Villagómez Gordillo. Secretaria: Nélida Calvillo Mancilla.</w:t>
      </w:r>
    </w:p>
    <w:p w:rsidR="008359D1" w:rsidRPr="008359D1" w:rsidRDefault="008359D1" w:rsidP="008359D1">
      <w:pPr>
        <w:spacing w:after="0" w:line="240" w:lineRule="auto"/>
        <w:jc w:val="both"/>
        <w:rPr>
          <w:rFonts w:ascii="Arial" w:hAnsi="Arial" w:cs="Arial"/>
        </w:rPr>
      </w:pPr>
      <w:bookmarkStart w:id="10" w:name="_GoBack"/>
      <w:bookmarkEnd w:id="10"/>
    </w:p>
    <w:p w:rsidR="00583FA7" w:rsidRPr="00A80BB8" w:rsidRDefault="00583FA7" w:rsidP="007C6907">
      <w:pPr>
        <w:pStyle w:val="Ttulo1"/>
        <w:numPr>
          <w:ilvl w:val="0"/>
          <w:numId w:val="11"/>
        </w:numPr>
        <w:spacing w:line="360" w:lineRule="auto"/>
        <w:jc w:val="center"/>
        <w:rPr>
          <w:rFonts w:ascii="Arial" w:hAnsi="Arial" w:cs="Arial"/>
          <w:color w:val="B35E06" w:themeColor="accent1" w:themeShade="BF"/>
          <w:sz w:val="36"/>
          <w:szCs w:val="36"/>
        </w:rPr>
      </w:pPr>
      <w:bookmarkStart w:id="11" w:name="_Toc22039258"/>
      <w:bookmarkStart w:id="12" w:name="_Toc5371743"/>
      <w:bookmarkStart w:id="13" w:name="_Toc5263202"/>
      <w:bookmarkStart w:id="14" w:name="_Toc5180179"/>
      <w:bookmarkStart w:id="15" w:name="_Toc1380861"/>
      <w:bookmarkStart w:id="16" w:name="_Toc779016"/>
      <w:bookmarkStart w:id="17" w:name="_Toc536439466"/>
      <w:bookmarkStart w:id="18" w:name="_Toc535924787"/>
      <w:bookmarkStart w:id="19" w:name="_Toc338652"/>
      <w:bookmarkStart w:id="20" w:name="_Toc1379638"/>
      <w:bookmarkStart w:id="21" w:name="_Toc2071030"/>
      <w:bookmarkStart w:id="22" w:name="_Toc11316582"/>
      <w:bookmarkStart w:id="23" w:name="_Toc13479248"/>
      <w:bookmarkStart w:id="24" w:name="_Toc13479882"/>
      <w:bookmarkStart w:id="25" w:name="_Toc13480931"/>
      <w:bookmarkStart w:id="26" w:name="_Toc15894289"/>
      <w:bookmarkStart w:id="27" w:name="_Toc15988715"/>
      <w:bookmarkStart w:id="28" w:name="_Toc16507517"/>
      <w:bookmarkStart w:id="29" w:name="_Toc21951268"/>
      <w:bookmarkStart w:id="30" w:name="_Toc21956617"/>
      <w:bookmarkStart w:id="31" w:name="_Toc21957333"/>
      <w:bookmarkStart w:id="32" w:name="_Toc22037644"/>
      <w:bookmarkStart w:id="33" w:name="_Toc22042399"/>
      <w:bookmarkStart w:id="34" w:name="_Toc22043913"/>
      <w:bookmarkStart w:id="35" w:name="_Toc30674845"/>
      <w:bookmarkStart w:id="36" w:name="_Toc31107917"/>
      <w:r w:rsidRPr="00A80BB8">
        <w:rPr>
          <w:rFonts w:ascii="Arial" w:hAnsi="Arial" w:cs="Arial"/>
          <w:color w:val="B35E06" w:themeColor="accent1" w:themeShade="BF"/>
          <w:sz w:val="36"/>
          <w:szCs w:val="36"/>
        </w:rPr>
        <w:t>FUENTES CONSULTADAS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583FA7" w:rsidRDefault="00583FA7" w:rsidP="00583FA7">
      <w:pPr>
        <w:numPr>
          <w:ilvl w:val="0"/>
          <w:numId w:val="6"/>
        </w:numPr>
        <w:spacing w:after="0" w:line="360" w:lineRule="auto"/>
        <w:jc w:val="center"/>
        <w:rPr>
          <w:rFonts w:ascii="Arial" w:hAnsi="Arial" w:cs="Arial"/>
          <w:b/>
          <w:bCs/>
          <w:vanish/>
          <w:color w:val="B35E06" w:themeColor="accent1" w:themeShade="BF"/>
          <w:szCs w:val="24"/>
          <w:lang w:val="es-MX"/>
        </w:rPr>
      </w:pPr>
      <w:bookmarkStart w:id="37" w:name="_Toc536437384"/>
      <w:bookmarkStart w:id="38" w:name="_Toc536437577"/>
      <w:bookmarkStart w:id="39" w:name="_Toc536439344"/>
      <w:bookmarkStart w:id="40" w:name="_Toc536439427"/>
      <w:bookmarkStart w:id="41" w:name="_Toc536439467"/>
      <w:bookmarkStart w:id="42" w:name="_Toc338653"/>
      <w:bookmarkStart w:id="43" w:name="_Toc778876"/>
      <w:bookmarkStart w:id="44" w:name="_Toc779017"/>
      <w:bookmarkStart w:id="45" w:name="_Toc1379639"/>
      <w:bookmarkStart w:id="46" w:name="_Toc1380862"/>
      <w:bookmarkStart w:id="47" w:name="_Toc2071031"/>
      <w:bookmarkStart w:id="48" w:name="_Toc5180102"/>
      <w:bookmarkStart w:id="49" w:name="_Toc5180180"/>
      <w:bookmarkStart w:id="50" w:name="_Toc5262815"/>
      <w:bookmarkStart w:id="51" w:name="_Toc5263076"/>
      <w:bookmarkStart w:id="52" w:name="_Toc5263203"/>
      <w:bookmarkStart w:id="53" w:name="_Toc5263841"/>
      <w:bookmarkStart w:id="54" w:name="_Toc5263889"/>
      <w:bookmarkStart w:id="55" w:name="_Toc5263941"/>
      <w:bookmarkStart w:id="56" w:name="_Toc5273346"/>
      <w:bookmarkStart w:id="57" w:name="_Toc5277921"/>
      <w:bookmarkStart w:id="58" w:name="_Toc5371729"/>
      <w:bookmarkStart w:id="59" w:name="_Toc5371744"/>
      <w:bookmarkStart w:id="60" w:name="_Toc53643946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83FA7" w:rsidRDefault="00583FA7" w:rsidP="00583FA7">
      <w:pPr>
        <w:numPr>
          <w:ilvl w:val="0"/>
          <w:numId w:val="6"/>
        </w:numPr>
        <w:spacing w:after="0" w:line="360" w:lineRule="auto"/>
        <w:jc w:val="center"/>
        <w:rPr>
          <w:rFonts w:ascii="Arial" w:hAnsi="Arial" w:cs="Arial"/>
          <w:b/>
          <w:bCs/>
          <w:vanish/>
          <w:color w:val="B35E06" w:themeColor="accent1" w:themeShade="BF"/>
          <w:szCs w:val="24"/>
          <w:lang w:val="es-MX"/>
        </w:rPr>
      </w:pPr>
      <w:bookmarkStart w:id="61" w:name="_Toc338654"/>
      <w:bookmarkStart w:id="62" w:name="_Toc778877"/>
      <w:bookmarkStart w:id="63" w:name="_Toc779018"/>
      <w:bookmarkStart w:id="64" w:name="_Toc1379640"/>
      <w:bookmarkStart w:id="65" w:name="_Toc1380863"/>
      <w:bookmarkStart w:id="66" w:name="_Toc2071032"/>
      <w:bookmarkStart w:id="67" w:name="_Toc5180103"/>
      <w:bookmarkStart w:id="68" w:name="_Toc5180181"/>
      <w:bookmarkStart w:id="69" w:name="_Toc5262816"/>
      <w:bookmarkStart w:id="70" w:name="_Toc5263077"/>
      <w:bookmarkStart w:id="71" w:name="_Toc5263204"/>
      <w:bookmarkStart w:id="72" w:name="_Toc5263842"/>
      <w:bookmarkStart w:id="73" w:name="_Toc5263890"/>
      <w:bookmarkStart w:id="74" w:name="_Toc5263942"/>
      <w:bookmarkStart w:id="75" w:name="_Toc5273347"/>
      <w:bookmarkStart w:id="76" w:name="_Toc5277922"/>
      <w:bookmarkStart w:id="77" w:name="_Toc5371730"/>
      <w:bookmarkStart w:id="78" w:name="_Toc537174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583FA7" w:rsidRDefault="00583FA7" w:rsidP="00583FA7">
      <w:pPr>
        <w:pStyle w:val="Ttulo2"/>
        <w:spacing w:line="360" w:lineRule="auto"/>
        <w:jc w:val="center"/>
        <w:rPr>
          <w:rFonts w:ascii="Arial" w:hAnsi="Arial" w:cs="Arial"/>
          <w:vanish/>
          <w:color w:val="B35E06" w:themeColor="accent1" w:themeShade="BF"/>
        </w:rPr>
      </w:pPr>
      <w:bookmarkStart w:id="79" w:name="_Toc22039259"/>
      <w:bookmarkStart w:id="80" w:name="_Toc5371746"/>
      <w:bookmarkStart w:id="81" w:name="_Toc5263205"/>
      <w:bookmarkStart w:id="82" w:name="_Toc5180182"/>
      <w:bookmarkStart w:id="83" w:name="_Toc1380864"/>
      <w:bookmarkStart w:id="84" w:name="_Toc779019"/>
      <w:bookmarkStart w:id="85" w:name="_Toc338655"/>
      <w:bookmarkStart w:id="86" w:name="_Toc1379641"/>
      <w:bookmarkStart w:id="87" w:name="_Toc2071033"/>
      <w:bookmarkStart w:id="88" w:name="_Toc11316583"/>
      <w:bookmarkStart w:id="89" w:name="_Toc13479249"/>
      <w:bookmarkStart w:id="90" w:name="_Toc13479883"/>
      <w:bookmarkStart w:id="91" w:name="_Toc13480932"/>
      <w:bookmarkStart w:id="92" w:name="_Toc15894290"/>
      <w:bookmarkStart w:id="93" w:name="_Toc15988716"/>
      <w:bookmarkStart w:id="94" w:name="_Toc16507518"/>
      <w:bookmarkStart w:id="95" w:name="_Toc21951269"/>
      <w:bookmarkStart w:id="96" w:name="_Toc21956618"/>
      <w:bookmarkStart w:id="97" w:name="_Toc21957334"/>
      <w:bookmarkStart w:id="98" w:name="_Toc22037645"/>
      <w:bookmarkStart w:id="99" w:name="_Toc22042400"/>
      <w:bookmarkStart w:id="100" w:name="_Toc22043914"/>
      <w:bookmarkStart w:id="101" w:name="_Toc30674846"/>
      <w:bookmarkStart w:id="102" w:name="_Toc31107918"/>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3" w:name="_Toc524446387"/>
      <w:bookmarkStart w:id="104" w:name="_Toc524519068"/>
      <w:bookmarkStart w:id="105" w:name="_Toc524519163"/>
      <w:bookmarkStart w:id="106" w:name="_Toc524446390"/>
      <w:bookmarkStart w:id="107" w:name="_Toc524519071"/>
      <w:bookmarkStart w:id="108" w:name="_Toc524519166"/>
      <w:bookmarkEnd w:id="6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83FA7" w:rsidRDefault="00583FA7" w:rsidP="00583FA7">
      <w:pPr>
        <w:spacing w:after="0" w:line="360" w:lineRule="auto"/>
        <w:jc w:val="center"/>
        <w:rPr>
          <w:rFonts w:ascii="Arial" w:hAnsi="Arial" w:cs="Arial"/>
          <w:color w:val="B35E06" w:themeColor="accent1" w:themeShade="BF"/>
          <w:szCs w:val="24"/>
        </w:rPr>
      </w:pPr>
      <w:bookmarkStart w:id="109" w:name="_Toc524947297"/>
      <w:bookmarkStart w:id="110" w:name="_Toc525683586"/>
      <w:bookmarkStart w:id="111" w:name="_Toc525686134"/>
      <w:bookmarkStart w:id="112" w:name="_Toc525808260"/>
      <w:bookmarkStart w:id="113" w:name="_Toc525808291"/>
      <w:bookmarkStart w:id="114" w:name="_Toc525808454"/>
      <w:bookmarkStart w:id="115" w:name="_Toc524947298"/>
      <w:bookmarkStart w:id="116" w:name="_Toc525683587"/>
      <w:bookmarkStart w:id="117" w:name="_Toc525686135"/>
      <w:bookmarkStart w:id="118" w:name="_Toc525808261"/>
      <w:bookmarkStart w:id="119" w:name="_Toc525808292"/>
      <w:bookmarkStart w:id="120" w:name="_Toc525808455"/>
      <w:bookmarkStart w:id="121" w:name="_Toc524947299"/>
      <w:bookmarkStart w:id="122" w:name="_Toc525683588"/>
      <w:bookmarkStart w:id="123" w:name="_Toc525686136"/>
      <w:bookmarkStart w:id="124" w:name="_Toc525808262"/>
      <w:bookmarkStart w:id="125" w:name="_Toc525808293"/>
      <w:bookmarkStart w:id="126" w:name="_Toc525808456"/>
      <w:bookmarkStart w:id="127" w:name="_Toc524947300"/>
      <w:bookmarkStart w:id="128" w:name="_Toc525683589"/>
      <w:bookmarkStart w:id="129" w:name="_Toc525808294"/>
      <w:bookmarkStart w:id="130" w:name="_Toc525808457"/>
      <w:bookmarkStart w:id="131" w:name="_Toc53050378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583FA7" w:rsidRDefault="00583FA7" w:rsidP="00583FA7">
      <w:pPr>
        <w:pStyle w:val="Ttulo3"/>
        <w:jc w:val="center"/>
        <w:rPr>
          <w:rFonts w:ascii="Arial" w:hAnsi="Arial" w:cs="Arial"/>
          <w:b w:val="0"/>
          <w:color w:val="B35E06" w:themeColor="accent1" w:themeShade="BF"/>
        </w:rPr>
      </w:pPr>
      <w:bookmarkStart w:id="132" w:name="_Toc22039260"/>
      <w:bookmarkStart w:id="133" w:name="_Toc5371747"/>
      <w:bookmarkStart w:id="134" w:name="_Toc5263206"/>
      <w:bookmarkStart w:id="135" w:name="_Toc5180183"/>
      <w:bookmarkStart w:id="136" w:name="_Toc1380865"/>
      <w:bookmarkStart w:id="137" w:name="_Toc779020"/>
      <w:bookmarkStart w:id="138" w:name="_Toc536439469"/>
      <w:bookmarkStart w:id="139" w:name="_Toc338656"/>
      <w:bookmarkStart w:id="140" w:name="_Toc1379642"/>
      <w:bookmarkStart w:id="141" w:name="_Toc2071034"/>
      <w:bookmarkStart w:id="142" w:name="_Toc11316584"/>
      <w:bookmarkStart w:id="143" w:name="_Toc13479250"/>
      <w:bookmarkStart w:id="144" w:name="_Toc13479884"/>
      <w:bookmarkStart w:id="145" w:name="_Toc13480933"/>
      <w:bookmarkStart w:id="146" w:name="_Toc15894291"/>
      <w:bookmarkStart w:id="147" w:name="_Toc15988717"/>
      <w:bookmarkStart w:id="148" w:name="_Toc16507519"/>
      <w:bookmarkStart w:id="149" w:name="_Toc21951270"/>
      <w:bookmarkStart w:id="150" w:name="_Toc21956619"/>
      <w:bookmarkStart w:id="151" w:name="_Toc21957335"/>
      <w:bookmarkStart w:id="152" w:name="_Toc22037646"/>
      <w:bookmarkStart w:id="153" w:name="_Toc22042401"/>
      <w:bookmarkStart w:id="154" w:name="_Toc22043915"/>
      <w:bookmarkStart w:id="155" w:name="_Toc30674847"/>
      <w:bookmarkStart w:id="156" w:name="_Toc31107919"/>
      <w:r>
        <w:rPr>
          <w:rFonts w:ascii="Arial" w:hAnsi="Arial" w:cs="Arial"/>
          <w:b w:val="0"/>
          <w:color w:val="B35E06" w:themeColor="accent1" w:themeShade="BF"/>
        </w:rPr>
        <w:t>SEMANARIO JUDICIAL DE LA FEDERACIÓN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583FA7" w:rsidRDefault="00583FA7" w:rsidP="00583FA7"/>
    <w:p w:rsidR="00583FA7" w:rsidRDefault="00583FA7" w:rsidP="00583FA7">
      <w:pPr>
        <w:spacing w:after="0" w:line="240" w:lineRule="auto"/>
        <w:jc w:val="center"/>
        <w:rPr>
          <w:rFonts w:ascii="Arial" w:hAnsi="Arial" w:cs="Arial"/>
          <w:szCs w:val="24"/>
        </w:rPr>
      </w:pPr>
      <w:bookmarkStart w:id="157" w:name="_Toc525808458"/>
      <w:bookmarkStart w:id="158" w:name="_Toc525808295"/>
      <w:bookmarkStart w:id="159" w:name="_Toc525683590"/>
      <w:bookmarkStart w:id="160" w:name="_Toc524947301"/>
      <w:bookmarkStart w:id="161" w:name="_Toc530503785"/>
      <w:bookmarkEnd w:id="127"/>
      <w:bookmarkEnd w:id="128"/>
      <w:bookmarkEnd w:id="129"/>
      <w:bookmarkEnd w:id="130"/>
      <w:bookmarkEnd w:id="131"/>
      <w:r>
        <w:rPr>
          <w:rFonts w:ascii="Arial" w:hAnsi="Arial" w:cs="Arial"/>
          <w:bCs/>
          <w:szCs w:val="24"/>
        </w:rPr>
        <w:t>(https://sjf.scjn.gob.mx/SJFSem/Paginas/SemanarioV5.aspx</w:t>
      </w:r>
      <w:bookmarkEnd w:id="157"/>
      <w:bookmarkEnd w:id="158"/>
      <w:bookmarkEnd w:id="159"/>
      <w:bookmarkEnd w:id="160"/>
      <w:r>
        <w:rPr>
          <w:rFonts w:ascii="Arial" w:hAnsi="Arial" w:cs="Arial"/>
          <w:bCs/>
          <w:szCs w:val="24"/>
        </w:rPr>
        <w:t>)</w:t>
      </w:r>
      <w:bookmarkEnd w:id="161"/>
    </w:p>
    <w:p w:rsidR="00583FA7" w:rsidRDefault="00583FA7" w:rsidP="00583FA7">
      <w:pPr>
        <w:spacing w:after="0" w:line="240" w:lineRule="auto"/>
        <w:jc w:val="both"/>
        <w:rPr>
          <w:rFonts w:ascii="Arial" w:hAnsi="Arial" w:cs="Arial"/>
          <w:szCs w:val="24"/>
        </w:rPr>
      </w:pPr>
    </w:p>
    <w:p w:rsidR="00000EA6" w:rsidRPr="004C3549" w:rsidRDefault="00000EA6" w:rsidP="00C37F1F">
      <w:pPr>
        <w:spacing w:after="0" w:line="240" w:lineRule="auto"/>
        <w:jc w:val="both"/>
        <w:rPr>
          <w:rFonts w:ascii="Arial" w:hAnsi="Arial" w:cs="Arial"/>
        </w:rPr>
      </w:pPr>
    </w:p>
    <w:sectPr w:rsidR="00000EA6" w:rsidRPr="004C3549"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CC" w:rsidRDefault="00E845CC">
      <w:pPr>
        <w:spacing w:after="0" w:line="240" w:lineRule="auto"/>
      </w:pPr>
      <w:r>
        <w:separator/>
      </w:r>
    </w:p>
  </w:endnote>
  <w:endnote w:type="continuationSeparator" w:id="0">
    <w:p w:rsidR="00E845CC" w:rsidRDefault="00E8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CC" w:rsidRDefault="00E845CC">
      <w:pPr>
        <w:spacing w:after="0" w:line="240" w:lineRule="auto"/>
      </w:pPr>
      <w:r>
        <w:separator/>
      </w:r>
    </w:p>
  </w:footnote>
  <w:footnote w:type="continuationSeparator" w:id="0">
    <w:p w:rsidR="00E845CC" w:rsidRDefault="00E845CC">
      <w:pPr>
        <w:spacing w:after="0" w:line="240" w:lineRule="auto"/>
      </w:pPr>
      <w:r>
        <w:continuationSeparator/>
      </w:r>
    </w:p>
  </w:footnote>
  <w:footnote w:id="1">
    <w:p w:rsidR="00583FA7" w:rsidRPr="00583FA7" w:rsidRDefault="00583FA7" w:rsidP="00583FA7">
      <w:pPr>
        <w:spacing w:after="0" w:line="240" w:lineRule="auto"/>
        <w:jc w:val="both"/>
        <w:rPr>
          <w:rFonts w:ascii="Arial" w:hAnsi="Arial" w:cs="Arial"/>
          <w:sz w:val="18"/>
          <w:szCs w:val="18"/>
        </w:rPr>
      </w:pPr>
      <w:r w:rsidRPr="00583FA7">
        <w:rPr>
          <w:rStyle w:val="Refdenotaalpie"/>
          <w:rFonts w:ascii="Arial" w:hAnsi="Arial" w:cs="Arial"/>
          <w:sz w:val="18"/>
          <w:szCs w:val="18"/>
        </w:rPr>
        <w:footnoteRef/>
      </w:r>
      <w:r w:rsidRPr="00583FA7">
        <w:rPr>
          <w:rFonts w:ascii="Arial" w:hAnsi="Arial" w:cs="Arial"/>
          <w:sz w:val="18"/>
          <w:szCs w:val="18"/>
        </w:rPr>
        <w:t xml:space="preserve"> </w:t>
      </w:r>
      <w:r w:rsidRPr="00583FA7">
        <w:rPr>
          <w:rFonts w:ascii="Arial" w:hAnsi="Arial" w:cs="Arial"/>
          <w:sz w:val="18"/>
          <w:szCs w:val="18"/>
        </w:rPr>
        <w:t>Esta apa</w:t>
      </w:r>
      <w:r w:rsidR="003D51B1" w:rsidRPr="00583FA7">
        <w:rPr>
          <w:rFonts w:ascii="Arial" w:hAnsi="Arial" w:cs="Arial"/>
          <w:sz w:val="18"/>
          <w:szCs w:val="18"/>
        </w:rPr>
        <w:t xml:space="preserve">rece de igual manera en la compilación de tesis en materia </w:t>
      </w:r>
      <w:r w:rsidR="003D51B1">
        <w:rPr>
          <w:rFonts w:ascii="Arial" w:hAnsi="Arial" w:cs="Arial"/>
          <w:sz w:val="18"/>
          <w:szCs w:val="18"/>
        </w:rPr>
        <w:t xml:space="preserve">administrativa, mercantil así como </w:t>
      </w:r>
      <w:r w:rsidRPr="00583FA7">
        <w:rPr>
          <w:rFonts w:ascii="Arial" w:hAnsi="Arial" w:cs="Arial"/>
          <w:sz w:val="18"/>
          <w:szCs w:val="18"/>
        </w:rPr>
        <w:t>constitucional y amparo.</w:t>
      </w:r>
    </w:p>
  </w:footnote>
  <w:footnote w:id="2">
    <w:p w:rsidR="007C6907" w:rsidRPr="007C6907" w:rsidRDefault="007C6907" w:rsidP="007C6907">
      <w:pPr>
        <w:spacing w:after="0" w:line="240" w:lineRule="auto"/>
        <w:jc w:val="both"/>
        <w:rPr>
          <w:rFonts w:ascii="Arial" w:hAnsi="Arial" w:cs="Arial"/>
          <w:sz w:val="18"/>
          <w:szCs w:val="18"/>
        </w:rPr>
      </w:pPr>
      <w:r w:rsidRPr="007C6907">
        <w:rPr>
          <w:rStyle w:val="Refdenotaalpie"/>
          <w:rFonts w:ascii="Arial" w:hAnsi="Arial" w:cs="Arial"/>
          <w:sz w:val="18"/>
          <w:szCs w:val="18"/>
        </w:rPr>
        <w:footnoteRef/>
      </w:r>
      <w:r w:rsidRPr="007C6907">
        <w:rPr>
          <w:rFonts w:ascii="Arial" w:hAnsi="Arial" w:cs="Arial"/>
          <w:sz w:val="18"/>
          <w:szCs w:val="18"/>
        </w:rPr>
        <w:t xml:space="preserve"> </w:t>
      </w:r>
      <w:r w:rsidRPr="007C6907">
        <w:rPr>
          <w:rFonts w:ascii="Arial" w:hAnsi="Arial" w:cs="Arial"/>
          <w:sz w:val="18"/>
          <w:szCs w:val="18"/>
        </w:rPr>
        <w:t>Esta tesis aparece de igual manera en la compilación de tesis en  materia laboral.</w:t>
      </w:r>
    </w:p>
  </w:footnote>
  <w:footnote w:id="3">
    <w:p w:rsidR="007C6907" w:rsidRPr="007C6907" w:rsidRDefault="007C6907" w:rsidP="007C6907">
      <w:pPr>
        <w:spacing w:after="0" w:line="240" w:lineRule="auto"/>
        <w:jc w:val="both"/>
        <w:rPr>
          <w:rFonts w:ascii="Arial" w:hAnsi="Arial" w:cs="Arial"/>
          <w:sz w:val="18"/>
          <w:szCs w:val="18"/>
        </w:rPr>
      </w:pPr>
      <w:r w:rsidRPr="007C6907">
        <w:rPr>
          <w:rStyle w:val="Refdenotaalpie"/>
          <w:rFonts w:ascii="Arial" w:hAnsi="Arial" w:cs="Arial"/>
          <w:sz w:val="18"/>
          <w:szCs w:val="18"/>
        </w:rPr>
        <w:footnoteRef/>
      </w:r>
      <w:r w:rsidRPr="007C6907">
        <w:rPr>
          <w:rFonts w:ascii="Arial" w:hAnsi="Arial" w:cs="Arial"/>
          <w:sz w:val="18"/>
          <w:szCs w:val="18"/>
        </w:rPr>
        <w:t xml:space="preserve"> </w:t>
      </w:r>
      <w:r w:rsidRPr="007C6907">
        <w:rPr>
          <w:rFonts w:ascii="Arial" w:hAnsi="Arial" w:cs="Arial"/>
          <w:sz w:val="18"/>
          <w:szCs w:val="18"/>
        </w:rPr>
        <w:t>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B664959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00EA6"/>
    <w:rsid w:val="0001495E"/>
    <w:rsid w:val="0001626D"/>
    <w:rsid w:val="00035454"/>
    <w:rsid w:val="00067EEB"/>
    <w:rsid w:val="000A5150"/>
    <w:rsid w:val="000B22CA"/>
    <w:rsid w:val="000D02CC"/>
    <w:rsid w:val="000D40AA"/>
    <w:rsid w:val="000D68B2"/>
    <w:rsid w:val="000E584C"/>
    <w:rsid w:val="00113202"/>
    <w:rsid w:val="00143A2B"/>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D51B1"/>
    <w:rsid w:val="003F21F5"/>
    <w:rsid w:val="00425411"/>
    <w:rsid w:val="00492D0B"/>
    <w:rsid w:val="004C3549"/>
    <w:rsid w:val="004D61A7"/>
    <w:rsid w:val="004E29DC"/>
    <w:rsid w:val="004F615E"/>
    <w:rsid w:val="005008D8"/>
    <w:rsid w:val="00511C50"/>
    <w:rsid w:val="00524B92"/>
    <w:rsid w:val="00560F76"/>
    <w:rsid w:val="00581374"/>
    <w:rsid w:val="00583FA7"/>
    <w:rsid w:val="00587770"/>
    <w:rsid w:val="00591FFE"/>
    <w:rsid w:val="005B0A52"/>
    <w:rsid w:val="005B0DC7"/>
    <w:rsid w:val="005C2AAD"/>
    <w:rsid w:val="005D7F4F"/>
    <w:rsid w:val="00623FA6"/>
    <w:rsid w:val="00625009"/>
    <w:rsid w:val="00650E02"/>
    <w:rsid w:val="00655271"/>
    <w:rsid w:val="00691094"/>
    <w:rsid w:val="006B1EC9"/>
    <w:rsid w:val="006B7784"/>
    <w:rsid w:val="006E2C05"/>
    <w:rsid w:val="006F16F0"/>
    <w:rsid w:val="006F5E7A"/>
    <w:rsid w:val="00714A65"/>
    <w:rsid w:val="00715DEA"/>
    <w:rsid w:val="007520BE"/>
    <w:rsid w:val="007566EF"/>
    <w:rsid w:val="00761BC3"/>
    <w:rsid w:val="00761CCB"/>
    <w:rsid w:val="007C2576"/>
    <w:rsid w:val="007C6907"/>
    <w:rsid w:val="007E703A"/>
    <w:rsid w:val="007F106F"/>
    <w:rsid w:val="00814717"/>
    <w:rsid w:val="008359D1"/>
    <w:rsid w:val="008434DE"/>
    <w:rsid w:val="00844331"/>
    <w:rsid w:val="008613E1"/>
    <w:rsid w:val="008668C3"/>
    <w:rsid w:val="008E17FB"/>
    <w:rsid w:val="008E6394"/>
    <w:rsid w:val="008F2008"/>
    <w:rsid w:val="00911229"/>
    <w:rsid w:val="009468A0"/>
    <w:rsid w:val="009603E6"/>
    <w:rsid w:val="009C0993"/>
    <w:rsid w:val="009E413B"/>
    <w:rsid w:val="00A448C1"/>
    <w:rsid w:val="00A65F33"/>
    <w:rsid w:val="00A75F43"/>
    <w:rsid w:val="00A80BB8"/>
    <w:rsid w:val="00A91AFB"/>
    <w:rsid w:val="00AA308A"/>
    <w:rsid w:val="00AA7AA0"/>
    <w:rsid w:val="00AB4981"/>
    <w:rsid w:val="00AD20E5"/>
    <w:rsid w:val="00AD251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37F1F"/>
    <w:rsid w:val="00C54B3A"/>
    <w:rsid w:val="00C56AD6"/>
    <w:rsid w:val="00C73DCF"/>
    <w:rsid w:val="00C764D7"/>
    <w:rsid w:val="00CA6B4F"/>
    <w:rsid w:val="00CB208F"/>
    <w:rsid w:val="00CC0644"/>
    <w:rsid w:val="00CC5068"/>
    <w:rsid w:val="00CD28BF"/>
    <w:rsid w:val="00D30ED6"/>
    <w:rsid w:val="00D522B9"/>
    <w:rsid w:val="00D72CB4"/>
    <w:rsid w:val="00DA37BB"/>
    <w:rsid w:val="00DA4A43"/>
    <w:rsid w:val="00DA5BEB"/>
    <w:rsid w:val="00DE395C"/>
    <w:rsid w:val="00DF064B"/>
    <w:rsid w:val="00DF6BD2"/>
    <w:rsid w:val="00E105CD"/>
    <w:rsid w:val="00E2411A"/>
    <w:rsid w:val="00E37225"/>
    <w:rsid w:val="00E51439"/>
    <w:rsid w:val="00E52B73"/>
    <w:rsid w:val="00E6251B"/>
    <w:rsid w:val="00E845CC"/>
    <w:rsid w:val="00EB55BB"/>
    <w:rsid w:val="00ED5C6C"/>
    <w:rsid w:val="00EF36A5"/>
    <w:rsid w:val="00EF506B"/>
    <w:rsid w:val="00F03FBE"/>
    <w:rsid w:val="00F067A8"/>
    <w:rsid w:val="00F355FF"/>
    <w:rsid w:val="00F437C9"/>
    <w:rsid w:val="00F45F61"/>
    <w:rsid w:val="00F542C2"/>
    <w:rsid w:val="00F56264"/>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B7CA6-710B-4DE2-BC2C-07D505E2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13</Pages>
  <Words>3788</Words>
  <Characters>20837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2020-01-27T16:17:00Z</dcterms:created>
  <dcterms:modified xsi:type="dcterms:W3CDTF">2020-01-28T18:47:00Z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